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D6666" w:rsidRDefault="005F11DB" w:rsidP="005F11DB">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Pr="006D6666">
        <w:rPr>
          <w:rFonts w:ascii="Palatino Linotype" w:hAnsi="Palatino Linotype" w:cs="Arial"/>
          <w:b/>
          <w:sz w:val="24"/>
          <w:szCs w:val="24"/>
        </w:rPr>
        <w:t xml:space="preserve"> PARTICULAR DEL COMISIONADO JOSÉ GUADALUPE LUNA HERNÁNDEZ</w:t>
      </w:r>
      <w:r>
        <w:rPr>
          <w:rFonts w:ascii="Palatino Linotype" w:hAnsi="Palatino Linotype" w:cs="Arial"/>
          <w:b/>
          <w:sz w:val="24"/>
          <w:szCs w:val="24"/>
        </w:rPr>
        <w:t xml:space="preserve"> EN EL RECURSO DE REVISIÓN </w:t>
      </w:r>
      <w:r w:rsidR="00BE604D">
        <w:rPr>
          <w:rFonts w:ascii="Palatino Linotype" w:hAnsi="Palatino Linotype" w:cs="Arial"/>
          <w:b/>
          <w:sz w:val="24"/>
          <w:szCs w:val="24"/>
        </w:rPr>
        <w:t xml:space="preserve"> </w:t>
      </w:r>
      <w:r w:rsidR="00F12E66" w:rsidRPr="00F12E66">
        <w:rPr>
          <w:rFonts w:ascii="Palatino Linotype" w:hAnsi="Palatino Linotype" w:cs="Arial"/>
          <w:b/>
          <w:sz w:val="24"/>
          <w:szCs w:val="24"/>
        </w:rPr>
        <w:t>04095/INFOEM/OD/RR/2018</w:t>
      </w:r>
      <w:r w:rsidRPr="006D6666">
        <w:rPr>
          <w:rFonts w:ascii="Palatino Linotype" w:hAnsi="Palatino Linotype" w:cs="Arial"/>
          <w:b/>
          <w:sz w:val="24"/>
          <w:szCs w:val="24"/>
        </w:rPr>
        <w:t>.</w:t>
      </w:r>
    </w:p>
    <w:p w:rsidR="005F11DB" w:rsidRDefault="005F11DB" w:rsidP="005F11DB">
      <w:pPr>
        <w:spacing w:after="0" w:line="360" w:lineRule="auto"/>
        <w:jc w:val="both"/>
        <w:rPr>
          <w:rFonts w:ascii="Palatino Linotype" w:hAnsi="Palatino Linotype" w:cs="Arial"/>
          <w:sz w:val="24"/>
          <w:szCs w:val="24"/>
        </w:rPr>
      </w:pPr>
    </w:p>
    <w:p w:rsidR="005F11DB" w:rsidRDefault="00A60802" w:rsidP="005F11DB">
      <w:pPr>
        <w:spacing w:after="0" w:line="360" w:lineRule="auto"/>
        <w:jc w:val="center"/>
        <w:rPr>
          <w:rFonts w:ascii="Palatino Linotype" w:hAnsi="Palatino Linotype" w:cs="Arial"/>
          <w:b/>
          <w:sz w:val="24"/>
          <w:szCs w:val="24"/>
        </w:rPr>
      </w:pPr>
      <w:r>
        <w:rPr>
          <w:rFonts w:ascii="Palatino Linotype" w:hAnsi="Palatino Linotype" w:cs="Arial"/>
          <w:b/>
          <w:sz w:val="24"/>
          <w:szCs w:val="24"/>
        </w:rPr>
        <w:t>Resumen del voto</w:t>
      </w:r>
    </w:p>
    <w:p w:rsidR="00A60802" w:rsidRPr="00A60802" w:rsidRDefault="00A60802" w:rsidP="00A60802">
      <w:pPr>
        <w:spacing w:after="0" w:line="360" w:lineRule="auto"/>
        <w:jc w:val="both"/>
        <w:rPr>
          <w:rFonts w:ascii="Palatino Linotype" w:hAnsi="Palatino Linotype" w:cs="Arial"/>
          <w:sz w:val="24"/>
          <w:szCs w:val="24"/>
        </w:rPr>
      </w:pPr>
      <w:r>
        <w:rPr>
          <w:rFonts w:ascii="Palatino Linotype" w:hAnsi="Palatino Linotype" w:cs="Arial"/>
          <w:sz w:val="24"/>
          <w:szCs w:val="24"/>
        </w:rPr>
        <w:t>Cuando</w:t>
      </w:r>
      <w:r w:rsidRPr="00A60802">
        <w:rPr>
          <w:rFonts w:ascii="Palatino Linotype" w:hAnsi="Palatino Linotype" w:cs="Arial"/>
          <w:sz w:val="24"/>
          <w:szCs w:val="24"/>
        </w:rPr>
        <w:t xml:space="preserve"> en una diligencia de conciliación, las partes h</w:t>
      </w:r>
      <w:r>
        <w:rPr>
          <w:rFonts w:ascii="Palatino Linotype" w:hAnsi="Palatino Linotype" w:cs="Arial"/>
          <w:sz w:val="24"/>
          <w:szCs w:val="24"/>
        </w:rPr>
        <w:t xml:space="preserve">ayan llegado a un acuerdo </w:t>
      </w:r>
      <w:r w:rsidRPr="00A60802">
        <w:rPr>
          <w:rFonts w:ascii="Palatino Linotype" w:hAnsi="Palatino Linotype" w:cs="Arial"/>
          <w:sz w:val="24"/>
          <w:szCs w:val="24"/>
        </w:rPr>
        <w:t xml:space="preserve">que satisface los intereses del particular, </w:t>
      </w:r>
      <w:r>
        <w:rPr>
          <w:rFonts w:ascii="Palatino Linotype" w:hAnsi="Palatino Linotype" w:cs="Arial"/>
          <w:sz w:val="24"/>
          <w:szCs w:val="24"/>
        </w:rPr>
        <w:t xml:space="preserve">el mismo no necesariamente </w:t>
      </w:r>
      <w:r w:rsidRPr="00A60802">
        <w:rPr>
          <w:rFonts w:ascii="Palatino Linotype" w:hAnsi="Palatino Linotype" w:cs="Arial"/>
          <w:sz w:val="24"/>
          <w:szCs w:val="24"/>
        </w:rPr>
        <w:t xml:space="preserve">quiere decir que es </w:t>
      </w:r>
      <w:proofErr w:type="gramStart"/>
      <w:r w:rsidRPr="00A60802">
        <w:rPr>
          <w:rFonts w:ascii="Palatino Linotype" w:hAnsi="Palatino Linotype" w:cs="Arial"/>
          <w:sz w:val="24"/>
          <w:szCs w:val="24"/>
        </w:rPr>
        <w:t>correcto</w:t>
      </w:r>
      <w:proofErr w:type="gramEnd"/>
      <w:r w:rsidRPr="00A60802">
        <w:rPr>
          <w:rFonts w:ascii="Palatino Linotype" w:hAnsi="Palatino Linotype" w:cs="Arial"/>
          <w:sz w:val="24"/>
          <w:szCs w:val="24"/>
        </w:rPr>
        <w:t xml:space="preserve"> y consecuentemente deba ser avalado por este Órgano Garante sin emitir una postura al respecto o proponer las alternativas aplicables a</w:t>
      </w:r>
      <w:r>
        <w:rPr>
          <w:rFonts w:ascii="Palatino Linotype" w:hAnsi="Palatino Linotype" w:cs="Arial"/>
          <w:sz w:val="24"/>
          <w:szCs w:val="24"/>
        </w:rPr>
        <w:t>l</w:t>
      </w:r>
      <w:r w:rsidRPr="00A60802">
        <w:rPr>
          <w:rFonts w:ascii="Palatino Linotype" w:hAnsi="Palatino Linotype" w:cs="Arial"/>
          <w:sz w:val="24"/>
          <w:szCs w:val="24"/>
        </w:rPr>
        <w:t xml:space="preserve"> </w:t>
      </w:r>
      <w:r>
        <w:rPr>
          <w:rFonts w:ascii="Palatino Linotype" w:hAnsi="Palatino Linotype" w:cs="Arial"/>
          <w:sz w:val="24"/>
          <w:szCs w:val="24"/>
        </w:rPr>
        <w:t xml:space="preserve">caso </w:t>
      </w:r>
      <w:r w:rsidRPr="00A60802">
        <w:rPr>
          <w:rFonts w:ascii="Palatino Linotype" w:hAnsi="Palatino Linotype" w:cs="Arial"/>
          <w:sz w:val="24"/>
          <w:szCs w:val="24"/>
        </w:rPr>
        <w:t>concreto</w:t>
      </w:r>
      <w:r>
        <w:rPr>
          <w:rFonts w:ascii="Palatino Linotype" w:hAnsi="Palatino Linotype" w:cs="Arial"/>
          <w:sz w:val="24"/>
          <w:szCs w:val="24"/>
        </w:rPr>
        <w:t>. Las partes deben tener cuidado que el acuerdo al que se llega, no contravenga eventualmente otras disposiciones legales.</w:t>
      </w:r>
    </w:p>
    <w:p w:rsidR="0070582F" w:rsidRDefault="0070582F" w:rsidP="005F11DB">
      <w:pPr>
        <w:spacing w:after="0" w:line="360" w:lineRule="auto"/>
        <w:jc w:val="center"/>
        <w:rPr>
          <w:rFonts w:ascii="Palatino Linotype" w:hAnsi="Palatino Linotype" w:cs="Arial"/>
          <w:b/>
          <w:sz w:val="24"/>
          <w:szCs w:val="24"/>
        </w:rPr>
      </w:pPr>
    </w:p>
    <w:p w:rsidR="005F11DB" w:rsidRPr="00CD27F3" w:rsidRDefault="005F11DB" w:rsidP="005F11DB">
      <w:pPr>
        <w:spacing w:after="0" w:line="360" w:lineRule="auto"/>
        <w:jc w:val="center"/>
        <w:rPr>
          <w:rFonts w:ascii="Palatino Linotype" w:hAnsi="Palatino Linotype" w:cs="Arial"/>
          <w:b/>
          <w:sz w:val="24"/>
          <w:szCs w:val="24"/>
        </w:rPr>
      </w:pPr>
      <w:r w:rsidRPr="00CD27F3">
        <w:rPr>
          <w:rFonts w:ascii="Palatino Linotype" w:hAnsi="Palatino Linotype" w:cs="Arial"/>
          <w:b/>
          <w:sz w:val="24"/>
          <w:szCs w:val="24"/>
        </w:rPr>
        <w:t>Índice</w:t>
      </w:r>
    </w:p>
    <w:p w:rsidR="005F11DB" w:rsidRDefault="005F11DB" w:rsidP="005F11DB">
      <w:pPr>
        <w:spacing w:after="0" w:line="360" w:lineRule="auto"/>
        <w:jc w:val="both"/>
        <w:rPr>
          <w:rFonts w:ascii="Palatino Linotype" w:hAnsi="Palatino Linotype" w:cs="Arial"/>
          <w:b/>
          <w:sz w:val="24"/>
          <w:szCs w:val="24"/>
        </w:rPr>
      </w:pPr>
    </w:p>
    <w:sdt>
      <w:sdtPr>
        <w:rPr>
          <w:lang w:val="es-ES"/>
        </w:rPr>
        <w:id w:val="-1625236335"/>
        <w:docPartObj>
          <w:docPartGallery w:val="Table of Contents"/>
          <w:docPartUnique/>
        </w:docPartObj>
      </w:sdtPr>
      <w:sdtEndPr>
        <w:rPr>
          <w:b/>
          <w:bCs/>
        </w:rPr>
      </w:sdtEndPr>
      <w:sdtContent>
        <w:p w:rsidR="00A60802" w:rsidRPr="00A60802" w:rsidRDefault="005F11DB" w:rsidP="00A60802">
          <w:pPr>
            <w:pStyle w:val="TDC1"/>
            <w:tabs>
              <w:tab w:val="right" w:leader="dot" w:pos="8828"/>
            </w:tabs>
            <w:spacing w:line="480" w:lineRule="auto"/>
            <w:rPr>
              <w:rFonts w:ascii="Palatino Linotype" w:eastAsiaTheme="minorEastAsia" w:hAnsi="Palatino Linotype"/>
              <w:noProof/>
              <w:sz w:val="24"/>
              <w:szCs w:val="24"/>
              <w:lang w:eastAsia="es-MX"/>
            </w:rPr>
          </w:pPr>
          <w:r w:rsidRPr="00A60802">
            <w:rPr>
              <w:rFonts w:ascii="Palatino Linotype" w:eastAsiaTheme="majorEastAsia" w:hAnsi="Palatino Linotype" w:cstheme="majorBidi"/>
              <w:color w:val="000000" w:themeColor="text1"/>
              <w:sz w:val="24"/>
              <w:szCs w:val="24"/>
              <w:lang w:eastAsia="es-MX"/>
            </w:rPr>
            <w:fldChar w:fldCharType="begin"/>
          </w:r>
          <w:r w:rsidRPr="00A60802">
            <w:rPr>
              <w:rFonts w:ascii="Palatino Linotype" w:hAnsi="Palatino Linotype"/>
              <w:color w:val="000000" w:themeColor="text1"/>
              <w:sz w:val="24"/>
              <w:szCs w:val="24"/>
            </w:rPr>
            <w:instrText xml:space="preserve"> TOC \o "1-3" \h \z \u </w:instrText>
          </w:r>
          <w:r w:rsidRPr="00A60802">
            <w:rPr>
              <w:rFonts w:ascii="Palatino Linotype" w:eastAsiaTheme="majorEastAsia" w:hAnsi="Palatino Linotype" w:cstheme="majorBidi"/>
              <w:color w:val="000000" w:themeColor="text1"/>
              <w:sz w:val="24"/>
              <w:szCs w:val="24"/>
              <w:lang w:eastAsia="es-MX"/>
            </w:rPr>
            <w:fldChar w:fldCharType="separate"/>
          </w:r>
          <w:hyperlink w:anchor="_Toc1999717" w:history="1">
            <w:r w:rsidR="00A60802" w:rsidRPr="00A60802">
              <w:rPr>
                <w:rStyle w:val="Hipervnculo"/>
                <w:rFonts w:ascii="Palatino Linotype" w:hAnsi="Palatino Linotype"/>
                <w:b/>
                <w:noProof/>
                <w:sz w:val="24"/>
                <w:szCs w:val="24"/>
              </w:rPr>
              <w:t>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Consideraciones Generales</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_Toc1999717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12E66">
              <w:rPr>
                <w:rFonts w:ascii="Palatino Linotype" w:hAnsi="Palatino Linotype"/>
                <w:noProof/>
                <w:webHidden/>
                <w:sz w:val="24"/>
                <w:szCs w:val="24"/>
              </w:rPr>
              <w:t>2</w:t>
            </w:r>
            <w:r w:rsidR="00A60802" w:rsidRPr="00A60802">
              <w:rPr>
                <w:rFonts w:ascii="Palatino Linotype" w:hAnsi="Palatino Linotype"/>
                <w:noProof/>
                <w:webHidden/>
                <w:sz w:val="24"/>
                <w:szCs w:val="24"/>
              </w:rPr>
              <w:fldChar w:fldCharType="end"/>
            </w:r>
          </w:hyperlink>
        </w:p>
        <w:p w:rsidR="00A60802" w:rsidRPr="00A60802" w:rsidRDefault="00785F2A" w:rsidP="00A60802">
          <w:pPr>
            <w:pStyle w:val="TDC1"/>
            <w:tabs>
              <w:tab w:val="right" w:leader="dot" w:pos="8828"/>
            </w:tabs>
            <w:spacing w:line="480" w:lineRule="auto"/>
            <w:rPr>
              <w:rFonts w:ascii="Palatino Linotype" w:eastAsiaTheme="minorEastAsia" w:hAnsi="Palatino Linotype"/>
              <w:noProof/>
              <w:sz w:val="24"/>
              <w:szCs w:val="24"/>
              <w:lang w:eastAsia="es-MX"/>
            </w:rPr>
          </w:pPr>
          <w:hyperlink w:anchor="_Toc1999718" w:history="1">
            <w:r w:rsidR="00A60802" w:rsidRPr="00A60802">
              <w:rPr>
                <w:rStyle w:val="Hipervnculo"/>
                <w:rFonts w:ascii="Palatino Linotype" w:hAnsi="Palatino Linotype"/>
                <w:b/>
                <w:noProof/>
                <w:sz w:val="24"/>
                <w:szCs w:val="24"/>
              </w:rPr>
              <w:t>II.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De los requerimientos planteados en el recurso de revisión.</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_Toc1999718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12E66">
              <w:rPr>
                <w:rFonts w:ascii="Palatino Linotype" w:hAnsi="Palatino Linotype"/>
                <w:noProof/>
                <w:webHidden/>
                <w:sz w:val="24"/>
                <w:szCs w:val="24"/>
              </w:rPr>
              <w:t>3</w:t>
            </w:r>
            <w:r w:rsidR="00A60802" w:rsidRPr="00A60802">
              <w:rPr>
                <w:rFonts w:ascii="Palatino Linotype" w:hAnsi="Palatino Linotype"/>
                <w:noProof/>
                <w:webHidden/>
                <w:sz w:val="24"/>
                <w:szCs w:val="24"/>
              </w:rPr>
              <w:fldChar w:fldCharType="end"/>
            </w:r>
          </w:hyperlink>
        </w:p>
        <w:p w:rsidR="00A60802" w:rsidRPr="00A60802" w:rsidRDefault="00785F2A" w:rsidP="00A60802">
          <w:pPr>
            <w:pStyle w:val="TDC1"/>
            <w:tabs>
              <w:tab w:val="right" w:leader="dot" w:pos="8828"/>
            </w:tabs>
            <w:spacing w:line="480" w:lineRule="auto"/>
            <w:rPr>
              <w:rFonts w:ascii="Palatino Linotype" w:eastAsiaTheme="minorEastAsia" w:hAnsi="Palatino Linotype"/>
              <w:noProof/>
              <w:sz w:val="24"/>
              <w:szCs w:val="24"/>
              <w:lang w:eastAsia="es-MX"/>
            </w:rPr>
          </w:pPr>
          <w:hyperlink w:anchor="_Toc1999719" w:history="1">
            <w:r w:rsidR="00A60802" w:rsidRPr="00A60802">
              <w:rPr>
                <w:rStyle w:val="Hipervnculo"/>
                <w:rFonts w:ascii="Palatino Linotype" w:hAnsi="Palatino Linotype"/>
                <w:b/>
                <w:noProof/>
                <w:sz w:val="24"/>
                <w:szCs w:val="24"/>
              </w:rPr>
              <w:t>III.</w:t>
            </w:r>
            <w:r w:rsidR="00A60802" w:rsidRPr="00A60802">
              <w:rPr>
                <w:rFonts w:ascii="Palatino Linotype" w:eastAsiaTheme="minorEastAsia" w:hAnsi="Palatino Linotype"/>
                <w:noProof/>
                <w:sz w:val="24"/>
                <w:szCs w:val="24"/>
                <w:lang w:eastAsia="es-MX"/>
              </w:rPr>
              <w:tab/>
            </w:r>
            <w:r w:rsidR="00A60802" w:rsidRPr="00A60802">
              <w:rPr>
                <w:rStyle w:val="Hipervnculo"/>
                <w:rFonts w:ascii="Palatino Linotype" w:hAnsi="Palatino Linotype"/>
                <w:b/>
                <w:noProof/>
                <w:sz w:val="24"/>
                <w:szCs w:val="24"/>
              </w:rPr>
              <w:t>Del acuerdo en el proceso de conciliación.</w:t>
            </w:r>
            <w:r w:rsidR="00A60802" w:rsidRPr="00A60802">
              <w:rPr>
                <w:rFonts w:ascii="Palatino Linotype" w:hAnsi="Palatino Linotype"/>
                <w:noProof/>
                <w:webHidden/>
                <w:sz w:val="24"/>
                <w:szCs w:val="24"/>
              </w:rPr>
              <w:tab/>
            </w:r>
            <w:r w:rsidR="00A60802" w:rsidRPr="00A60802">
              <w:rPr>
                <w:rFonts w:ascii="Palatino Linotype" w:hAnsi="Palatino Linotype"/>
                <w:noProof/>
                <w:webHidden/>
                <w:sz w:val="24"/>
                <w:szCs w:val="24"/>
              </w:rPr>
              <w:fldChar w:fldCharType="begin"/>
            </w:r>
            <w:r w:rsidR="00A60802" w:rsidRPr="00A60802">
              <w:rPr>
                <w:rFonts w:ascii="Palatino Linotype" w:hAnsi="Palatino Linotype"/>
                <w:noProof/>
                <w:webHidden/>
                <w:sz w:val="24"/>
                <w:szCs w:val="24"/>
              </w:rPr>
              <w:instrText xml:space="preserve"> PAGEREF _Toc1999719 \h </w:instrText>
            </w:r>
            <w:r w:rsidR="00A60802" w:rsidRPr="00A60802">
              <w:rPr>
                <w:rFonts w:ascii="Palatino Linotype" w:hAnsi="Palatino Linotype"/>
                <w:noProof/>
                <w:webHidden/>
                <w:sz w:val="24"/>
                <w:szCs w:val="24"/>
              </w:rPr>
            </w:r>
            <w:r w:rsidR="00A60802" w:rsidRPr="00A60802">
              <w:rPr>
                <w:rFonts w:ascii="Palatino Linotype" w:hAnsi="Palatino Linotype"/>
                <w:noProof/>
                <w:webHidden/>
                <w:sz w:val="24"/>
                <w:szCs w:val="24"/>
              </w:rPr>
              <w:fldChar w:fldCharType="separate"/>
            </w:r>
            <w:r w:rsidR="00F12E66">
              <w:rPr>
                <w:rFonts w:ascii="Palatino Linotype" w:hAnsi="Palatino Linotype"/>
                <w:noProof/>
                <w:webHidden/>
                <w:sz w:val="24"/>
                <w:szCs w:val="24"/>
              </w:rPr>
              <w:t>5</w:t>
            </w:r>
            <w:r w:rsidR="00A60802" w:rsidRPr="00A60802">
              <w:rPr>
                <w:rFonts w:ascii="Palatino Linotype" w:hAnsi="Palatino Linotype"/>
                <w:noProof/>
                <w:webHidden/>
                <w:sz w:val="24"/>
                <w:szCs w:val="24"/>
              </w:rPr>
              <w:fldChar w:fldCharType="end"/>
            </w:r>
          </w:hyperlink>
        </w:p>
        <w:p w:rsidR="005F11DB" w:rsidRDefault="005F11DB" w:rsidP="00A60802">
          <w:pPr>
            <w:spacing w:line="480" w:lineRule="auto"/>
          </w:pPr>
          <w:r w:rsidRPr="00A60802">
            <w:rPr>
              <w:rFonts w:ascii="Palatino Linotype" w:hAnsi="Palatino Linotype"/>
              <w:b/>
              <w:bCs/>
              <w:color w:val="000000" w:themeColor="text1"/>
              <w:sz w:val="24"/>
              <w:szCs w:val="24"/>
              <w:lang w:val="es-ES"/>
            </w:rPr>
            <w:fldChar w:fldCharType="end"/>
          </w:r>
        </w:p>
      </w:sdtContent>
    </w:sdt>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Pr="00046952"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1999717"/>
      <w:r w:rsidRPr="00046952">
        <w:rPr>
          <w:rFonts w:ascii="Palatino Linotype" w:hAnsi="Palatino Linotype"/>
          <w:b/>
          <w:color w:val="000000" w:themeColor="text1"/>
          <w:sz w:val="24"/>
          <w:szCs w:val="24"/>
        </w:rPr>
        <w:lastRenderedPageBreak/>
        <w:t>Consideraciones Generales</w:t>
      </w:r>
      <w:bookmarkEnd w:id="0"/>
    </w:p>
    <w:p w:rsidR="005F11DB" w:rsidRPr="00050296"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BA26C4">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eastAsia="Times New Roman" w:hAnsi="Palatino Linotype" w:cs="Arial"/>
          <w:sz w:val="24"/>
          <w:szCs w:val="24"/>
          <w:lang w:val="es-ES_tradnl"/>
        </w:rPr>
        <w:t xml:space="preserve">He concurrido con mi </w:t>
      </w:r>
      <w:r w:rsidRPr="000F0318">
        <w:rPr>
          <w:rFonts w:ascii="Palatino Linotype" w:eastAsia="Times New Roman" w:hAnsi="Palatino Linotype" w:cs="Arial"/>
          <w:b/>
          <w:sz w:val="24"/>
          <w:szCs w:val="24"/>
          <w:lang w:val="es-ES_tradnl"/>
        </w:rPr>
        <w:t>voto particular</w:t>
      </w:r>
      <w:r w:rsidRPr="006D6666">
        <w:rPr>
          <w:rFonts w:ascii="Palatino Linotype" w:eastAsia="Times New Roman" w:hAnsi="Palatino Linotype" w:cs="Arial"/>
          <w:sz w:val="24"/>
          <w:szCs w:val="24"/>
          <w:lang w:val="es-ES_tradnl"/>
        </w:rPr>
        <w:t xml:space="preserve"> de la presente resolución emitida </w:t>
      </w:r>
      <w:r w:rsidRPr="006D6666">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BA26C4">
        <w:rPr>
          <w:rFonts w:ascii="Palatino Linotype" w:hAnsi="Palatino Linotype" w:cs="Arial"/>
          <w:sz w:val="24"/>
          <w:szCs w:val="24"/>
        </w:rPr>
        <w:t>séptima</w:t>
      </w:r>
      <w:r w:rsidR="001A5EEA" w:rsidRPr="00696770">
        <w:rPr>
          <w:rFonts w:ascii="Palatino Linotype" w:hAnsi="Palatino Linotype" w:cs="Arial"/>
          <w:sz w:val="24"/>
          <w:szCs w:val="24"/>
        </w:rPr>
        <w:t xml:space="preserve"> </w:t>
      </w:r>
      <w:r w:rsidRPr="00696770">
        <w:rPr>
          <w:rFonts w:ascii="Palatino Linotype" w:hAnsi="Palatino Linotype" w:cs="Arial"/>
          <w:sz w:val="24"/>
          <w:szCs w:val="24"/>
        </w:rPr>
        <w:t>sesión or</w:t>
      </w:r>
      <w:r w:rsidR="00C81948">
        <w:rPr>
          <w:rFonts w:ascii="Palatino Linotype" w:hAnsi="Palatino Linotype" w:cs="Arial"/>
          <w:sz w:val="24"/>
          <w:szCs w:val="24"/>
        </w:rPr>
        <w:t>d</w:t>
      </w:r>
      <w:r w:rsidRPr="00696770">
        <w:rPr>
          <w:rFonts w:ascii="Palatino Linotype" w:hAnsi="Palatino Linotype" w:cs="Arial"/>
          <w:sz w:val="24"/>
          <w:szCs w:val="24"/>
        </w:rPr>
        <w:t>inaría de</w:t>
      </w:r>
      <w:r w:rsidR="00AE09CF">
        <w:rPr>
          <w:rFonts w:ascii="Palatino Linotype" w:hAnsi="Palatino Linotype" w:cs="Arial"/>
          <w:sz w:val="24"/>
          <w:szCs w:val="24"/>
        </w:rPr>
        <w:t xml:space="preserve"> fecha</w:t>
      </w:r>
      <w:r w:rsidR="00696770" w:rsidRPr="00696770">
        <w:rPr>
          <w:rFonts w:ascii="Palatino Linotype" w:hAnsi="Palatino Linotype" w:cs="Arial"/>
          <w:sz w:val="24"/>
          <w:szCs w:val="24"/>
        </w:rPr>
        <w:t xml:space="preserve"> </w:t>
      </w:r>
      <w:r w:rsidR="00BA26C4">
        <w:rPr>
          <w:rFonts w:ascii="Palatino Linotype" w:hAnsi="Palatino Linotype" w:cs="Arial"/>
          <w:sz w:val="24"/>
          <w:szCs w:val="24"/>
        </w:rPr>
        <w:t>veinte</w:t>
      </w:r>
      <w:r w:rsidRPr="00696770">
        <w:rPr>
          <w:rFonts w:ascii="Palatino Linotype" w:hAnsi="Palatino Linotype" w:cs="Arial"/>
          <w:sz w:val="24"/>
          <w:szCs w:val="24"/>
        </w:rPr>
        <w:t xml:space="preserve"> (</w:t>
      </w:r>
      <w:r w:rsidR="00BA26C4">
        <w:rPr>
          <w:rFonts w:ascii="Palatino Linotype" w:hAnsi="Palatino Linotype" w:cs="Arial"/>
          <w:sz w:val="24"/>
          <w:szCs w:val="24"/>
        </w:rPr>
        <w:t>20</w:t>
      </w:r>
      <w:r w:rsidRPr="00696770">
        <w:rPr>
          <w:rFonts w:ascii="Palatino Linotype" w:hAnsi="Palatino Linotype" w:cs="Arial"/>
          <w:sz w:val="24"/>
          <w:szCs w:val="24"/>
        </w:rPr>
        <w:t xml:space="preserve">) de </w:t>
      </w:r>
      <w:r w:rsidR="00BA26C4" w:rsidRPr="00B0785D">
        <w:rPr>
          <w:rFonts w:ascii="Palatino Linotype" w:hAnsi="Palatino Linotype" w:cs="Arial"/>
          <w:sz w:val="24"/>
          <w:szCs w:val="24"/>
        </w:rPr>
        <w:t>febrero de dos mil diecinueve</w:t>
      </w:r>
      <w:r w:rsidRPr="00B0785D">
        <w:rPr>
          <w:rFonts w:ascii="Palatino Linotype" w:hAnsi="Palatino Linotype" w:cs="Arial"/>
          <w:sz w:val="24"/>
          <w:szCs w:val="24"/>
        </w:rPr>
        <w:t>, en el recurso de revisión promovido en contra de la respuesta del</w:t>
      </w:r>
      <w:r w:rsidRPr="00B0785D">
        <w:rPr>
          <w:rFonts w:ascii="Palatino Linotype" w:hAnsi="Palatino Linotype"/>
          <w:sz w:val="24"/>
          <w:szCs w:val="24"/>
        </w:rPr>
        <w:t xml:space="preserve"> </w:t>
      </w:r>
      <w:r w:rsidR="00BE604D">
        <w:rPr>
          <w:rFonts w:ascii="Palatino Linotype" w:hAnsi="Palatino Linotype"/>
          <w:b/>
          <w:sz w:val="24"/>
          <w:szCs w:val="24"/>
        </w:rPr>
        <w:t>Poder Judicial</w:t>
      </w:r>
      <w:r w:rsidRPr="00B0785D">
        <w:rPr>
          <w:rFonts w:ascii="Palatino Linotype" w:hAnsi="Palatino Linotype" w:cs="Arial"/>
          <w:sz w:val="24"/>
          <w:szCs w:val="24"/>
        </w:rPr>
        <w:t xml:space="preserve">, procedimiento al que se le asignó el número de expediente </w:t>
      </w:r>
      <w:r w:rsidR="00BE604D">
        <w:rPr>
          <w:rFonts w:ascii="Palatino Linotype" w:hAnsi="Palatino Linotype"/>
          <w:b/>
          <w:color w:val="000000" w:themeColor="text1"/>
          <w:sz w:val="24"/>
          <w:szCs w:val="24"/>
        </w:rPr>
        <w:t xml:space="preserve"> 00002/PJUDICI/OD/2018</w:t>
      </w:r>
      <w:r w:rsidRPr="00B0785D">
        <w:rPr>
          <w:rFonts w:ascii="Palatino Linotype" w:hAnsi="Palatino Linotype" w:cs="Arial"/>
          <w:b/>
          <w:sz w:val="24"/>
          <w:szCs w:val="24"/>
        </w:rPr>
        <w:t>.</w:t>
      </w:r>
      <w:r w:rsidRPr="006D6666">
        <w:rPr>
          <w:rFonts w:ascii="Palatino Linotype" w:hAnsi="Palatino Linotype" w:cs="Arial"/>
          <w:sz w:val="24"/>
          <w:szCs w:val="24"/>
        </w:rPr>
        <w:t xml:space="preserve"> </w:t>
      </w:r>
    </w:p>
    <w:p w:rsidR="005F11DB" w:rsidRPr="006D6666" w:rsidRDefault="005F11DB" w:rsidP="005F11DB">
      <w:pPr>
        <w:pStyle w:val="Prrafodelista"/>
        <w:spacing w:after="0" w:line="360" w:lineRule="auto"/>
        <w:ind w:left="426"/>
        <w:jc w:val="both"/>
        <w:rPr>
          <w:rFonts w:ascii="Palatino Linotype" w:hAnsi="Palatino Linotype" w:cs="Arial"/>
          <w:sz w:val="24"/>
          <w:szCs w:val="24"/>
        </w:rPr>
      </w:pPr>
    </w:p>
    <w:p w:rsidR="005F11DB" w:rsidRDefault="005F11DB" w:rsidP="00BE604D">
      <w:pPr>
        <w:pStyle w:val="Prrafodelista"/>
        <w:numPr>
          <w:ilvl w:val="0"/>
          <w:numId w:val="8"/>
        </w:numPr>
        <w:spacing w:after="0" w:line="360" w:lineRule="auto"/>
        <w:ind w:left="0" w:firstLine="0"/>
        <w:jc w:val="both"/>
        <w:rPr>
          <w:rFonts w:ascii="Palatino Linotype" w:hAnsi="Palatino Linotype" w:cs="Arial"/>
          <w:sz w:val="24"/>
          <w:szCs w:val="24"/>
        </w:rPr>
      </w:pPr>
      <w:r w:rsidRPr="004D746D">
        <w:rPr>
          <w:rFonts w:ascii="Palatino Linotype" w:hAnsi="Palatino Linotype" w:cs="Arial"/>
          <w:sz w:val="24"/>
          <w:szCs w:val="24"/>
        </w:rPr>
        <w:t>La resolución deter</w:t>
      </w:r>
      <w:r w:rsidRPr="008E349D">
        <w:rPr>
          <w:rFonts w:ascii="Palatino Linotype" w:hAnsi="Palatino Linotype" w:cs="Arial"/>
          <w:sz w:val="24"/>
          <w:szCs w:val="24"/>
        </w:rPr>
        <w:t xml:space="preserve">mina el </w:t>
      </w:r>
      <w:r w:rsidR="00BE604D">
        <w:rPr>
          <w:rFonts w:ascii="Palatino Linotype" w:hAnsi="Palatino Linotype" w:cs="Arial"/>
          <w:b/>
          <w:sz w:val="24"/>
          <w:szCs w:val="24"/>
        </w:rPr>
        <w:t xml:space="preserve">sobreseer </w:t>
      </w:r>
      <w:r w:rsidR="00BE604D">
        <w:rPr>
          <w:rFonts w:ascii="Palatino Linotype" w:hAnsi="Palatino Linotype" w:cs="Arial"/>
          <w:sz w:val="24"/>
          <w:szCs w:val="24"/>
        </w:rPr>
        <w:t>el asunto</w:t>
      </w:r>
      <w:r w:rsidRPr="008E349D">
        <w:rPr>
          <w:rFonts w:ascii="Palatino Linotype" w:hAnsi="Palatino Linotype" w:cs="Arial"/>
          <w:sz w:val="24"/>
          <w:szCs w:val="24"/>
        </w:rPr>
        <w:t xml:space="preserve">, toda vez que </w:t>
      </w:r>
      <w:r w:rsidR="00BE604D">
        <w:rPr>
          <w:rFonts w:ascii="Palatino Linotype" w:hAnsi="Palatino Linotype" w:cs="Arial"/>
          <w:sz w:val="24"/>
          <w:szCs w:val="24"/>
        </w:rPr>
        <w:t xml:space="preserve">la Ponencia </w:t>
      </w:r>
      <w:proofErr w:type="spellStart"/>
      <w:r w:rsidR="00BE604D">
        <w:rPr>
          <w:rFonts w:ascii="Palatino Linotype" w:hAnsi="Palatino Linotype" w:cs="Arial"/>
          <w:sz w:val="24"/>
          <w:szCs w:val="24"/>
        </w:rPr>
        <w:t>Resolutora</w:t>
      </w:r>
      <w:proofErr w:type="spellEnd"/>
      <w:r w:rsidR="00BE604D">
        <w:rPr>
          <w:rFonts w:ascii="Palatino Linotype" w:hAnsi="Palatino Linotype" w:cs="Arial"/>
          <w:sz w:val="24"/>
          <w:szCs w:val="24"/>
        </w:rPr>
        <w:t xml:space="preserve">, convoco a una </w:t>
      </w:r>
      <w:r w:rsidR="00BE604D" w:rsidRPr="00667161">
        <w:rPr>
          <w:rFonts w:ascii="Palatino Linotype" w:hAnsi="Palatino Linotype" w:cs="Arial"/>
          <w:sz w:val="24"/>
          <w:szCs w:val="24"/>
        </w:rPr>
        <w:t xml:space="preserve">audiencia </w:t>
      </w:r>
      <w:r w:rsidR="00BE604D">
        <w:rPr>
          <w:rFonts w:ascii="Palatino Linotype" w:hAnsi="Palatino Linotype" w:cs="Arial"/>
          <w:sz w:val="24"/>
          <w:szCs w:val="24"/>
        </w:rPr>
        <w:t>para la</w:t>
      </w:r>
      <w:r w:rsidR="00BE604D" w:rsidRPr="00667161">
        <w:rPr>
          <w:rFonts w:ascii="Palatino Linotype" w:hAnsi="Palatino Linotype" w:cs="Arial"/>
          <w:sz w:val="24"/>
          <w:szCs w:val="24"/>
        </w:rPr>
        <w:t xml:space="preserve"> celebración de </w:t>
      </w:r>
      <w:r w:rsidR="00BE604D">
        <w:rPr>
          <w:rFonts w:ascii="Palatino Linotype" w:hAnsi="Palatino Linotype" w:cs="Arial"/>
          <w:sz w:val="24"/>
          <w:szCs w:val="24"/>
        </w:rPr>
        <w:t xml:space="preserve">una </w:t>
      </w:r>
      <w:r w:rsidR="00BE604D" w:rsidRPr="00667161">
        <w:rPr>
          <w:rFonts w:ascii="Palatino Linotype" w:hAnsi="Palatino Linotype" w:cs="Arial"/>
          <w:sz w:val="24"/>
          <w:szCs w:val="24"/>
        </w:rPr>
        <w:t>conciliación</w:t>
      </w:r>
      <w:r w:rsidR="00BE604D">
        <w:rPr>
          <w:rFonts w:ascii="Palatino Linotype" w:hAnsi="Palatino Linotype" w:cs="Arial"/>
          <w:sz w:val="24"/>
          <w:szCs w:val="24"/>
        </w:rPr>
        <w:t xml:space="preserve"> entre las partes</w:t>
      </w:r>
      <w:r w:rsidR="00BE604D" w:rsidRPr="00667161">
        <w:rPr>
          <w:rFonts w:ascii="Palatino Linotype" w:hAnsi="Palatino Linotype" w:cs="Arial"/>
          <w:sz w:val="24"/>
          <w:szCs w:val="24"/>
        </w:rPr>
        <w:t xml:space="preserve">, </w:t>
      </w:r>
      <w:r w:rsidR="00BE604D">
        <w:rPr>
          <w:rFonts w:ascii="Palatino Linotype" w:hAnsi="Palatino Linotype" w:cs="Arial"/>
          <w:sz w:val="24"/>
          <w:szCs w:val="24"/>
        </w:rPr>
        <w:t xml:space="preserve">misma que fue aceptada por las mismas. Luego de la celebración de la misma </w:t>
      </w:r>
      <w:r w:rsidR="00BE604D" w:rsidRPr="00BE604D">
        <w:rPr>
          <w:rFonts w:ascii="Palatino Linotype" w:hAnsi="Palatino Linotype" w:cs="Arial"/>
          <w:sz w:val="24"/>
          <w:szCs w:val="24"/>
        </w:rPr>
        <w:t xml:space="preserve">se </w:t>
      </w:r>
      <w:r w:rsidR="00BE604D">
        <w:rPr>
          <w:rFonts w:ascii="Palatino Linotype" w:hAnsi="Palatino Linotype" w:cs="Arial"/>
          <w:sz w:val="24"/>
          <w:szCs w:val="24"/>
        </w:rPr>
        <w:t xml:space="preserve">tuvo a bien </w:t>
      </w:r>
      <w:r w:rsidR="001D286B">
        <w:rPr>
          <w:rFonts w:ascii="Palatino Linotype" w:hAnsi="Palatino Linotype" w:cs="Arial"/>
          <w:sz w:val="24"/>
          <w:szCs w:val="24"/>
        </w:rPr>
        <w:t>elaborar</w:t>
      </w:r>
      <w:r w:rsidR="00BE604D" w:rsidRPr="00BE604D">
        <w:rPr>
          <w:rFonts w:ascii="Palatino Linotype" w:hAnsi="Palatino Linotype" w:cs="Arial"/>
          <w:sz w:val="24"/>
          <w:szCs w:val="24"/>
        </w:rPr>
        <w:t xml:space="preserve"> el acta de conciliación</w:t>
      </w:r>
      <w:r w:rsidR="00BE604D">
        <w:rPr>
          <w:rFonts w:ascii="Palatino Linotype" w:hAnsi="Palatino Linotype" w:cs="Arial"/>
          <w:sz w:val="24"/>
          <w:szCs w:val="24"/>
        </w:rPr>
        <w:t xml:space="preserve"> respectiva en que se asentó </w:t>
      </w:r>
      <w:r w:rsidR="00BE604D" w:rsidRPr="00BE604D">
        <w:rPr>
          <w:rFonts w:ascii="Palatino Linotype" w:hAnsi="Palatino Linotype" w:cs="Arial"/>
          <w:sz w:val="24"/>
          <w:szCs w:val="24"/>
        </w:rPr>
        <w:t xml:space="preserve">la posibilidad de sustituir el nombre de la </w:t>
      </w:r>
      <w:r w:rsidR="003B7651">
        <w:rPr>
          <w:rFonts w:ascii="Palatino Linotype" w:hAnsi="Palatino Linotype" w:cs="Arial"/>
          <w:sz w:val="24"/>
          <w:szCs w:val="24"/>
        </w:rPr>
        <w:t>r</w:t>
      </w:r>
      <w:r w:rsidR="00BE604D" w:rsidRPr="00BE604D">
        <w:rPr>
          <w:rFonts w:ascii="Palatino Linotype" w:hAnsi="Palatino Linotype" w:cs="Arial"/>
          <w:sz w:val="24"/>
          <w:szCs w:val="24"/>
        </w:rPr>
        <w:t>ecurrente por la palabra “SECRETO”, comprometiéndose el Sujeto Obligado a dar cumplimiento a más tardar el día 17 de diciembre de 2018</w:t>
      </w:r>
      <w:r w:rsidR="008B39D9">
        <w:rPr>
          <w:rFonts w:ascii="Palatino Linotype" w:hAnsi="Palatino Linotype" w:cs="Arial"/>
          <w:sz w:val="24"/>
          <w:szCs w:val="24"/>
        </w:rPr>
        <w:t xml:space="preserve">, hecho que ocurrió, por lo tanto se consideró que al haberse materializado lo acordado se determinó </w:t>
      </w:r>
      <w:r w:rsidR="001D286B">
        <w:rPr>
          <w:rFonts w:ascii="Palatino Linotype" w:hAnsi="Palatino Linotype" w:cs="Arial"/>
          <w:sz w:val="24"/>
          <w:szCs w:val="24"/>
        </w:rPr>
        <w:t xml:space="preserve">por parte de la Ponencia </w:t>
      </w:r>
      <w:proofErr w:type="spellStart"/>
      <w:r w:rsidR="001D286B">
        <w:rPr>
          <w:rFonts w:ascii="Palatino Linotype" w:hAnsi="Palatino Linotype" w:cs="Arial"/>
          <w:sz w:val="24"/>
          <w:szCs w:val="24"/>
        </w:rPr>
        <w:t>Resolutora</w:t>
      </w:r>
      <w:proofErr w:type="spellEnd"/>
      <w:r w:rsidR="001D286B">
        <w:rPr>
          <w:rFonts w:ascii="Palatino Linotype" w:hAnsi="Palatino Linotype" w:cs="Arial"/>
          <w:sz w:val="24"/>
          <w:szCs w:val="24"/>
        </w:rPr>
        <w:t xml:space="preserve"> </w:t>
      </w:r>
      <w:r w:rsidR="008B39D9">
        <w:rPr>
          <w:rFonts w:ascii="Palatino Linotype" w:hAnsi="Palatino Linotype" w:cs="Arial"/>
          <w:sz w:val="24"/>
          <w:szCs w:val="24"/>
        </w:rPr>
        <w:t xml:space="preserve">sobreseer por quedarse sin materia, hecho que no comparto en virtud que </w:t>
      </w:r>
      <w:r w:rsidR="001D286B">
        <w:rPr>
          <w:rFonts w:ascii="Palatino Linotype" w:hAnsi="Palatino Linotype" w:cs="Arial"/>
          <w:sz w:val="24"/>
          <w:szCs w:val="24"/>
        </w:rPr>
        <w:t>si bien se llegó a un</w:t>
      </w:r>
      <w:r w:rsidR="008B39D9">
        <w:rPr>
          <w:rFonts w:ascii="Palatino Linotype" w:hAnsi="Palatino Linotype" w:cs="Arial"/>
          <w:sz w:val="24"/>
          <w:szCs w:val="24"/>
        </w:rPr>
        <w:t xml:space="preserve"> acuerdo entre las partes, quiere decir que el mismo sea correcto y consecuentemente </w:t>
      </w:r>
      <w:r w:rsidR="001D286B">
        <w:rPr>
          <w:rFonts w:ascii="Palatino Linotype" w:hAnsi="Palatino Linotype" w:cs="Arial"/>
          <w:sz w:val="24"/>
          <w:szCs w:val="24"/>
        </w:rPr>
        <w:t xml:space="preserve">deba </w:t>
      </w:r>
      <w:r w:rsidR="008B39D9">
        <w:rPr>
          <w:rFonts w:ascii="Palatino Linotype" w:hAnsi="Palatino Linotype" w:cs="Arial"/>
          <w:sz w:val="24"/>
          <w:szCs w:val="24"/>
        </w:rPr>
        <w:t xml:space="preserve">avalado por quien resuelve. </w:t>
      </w:r>
    </w:p>
    <w:p w:rsidR="001D286B" w:rsidRPr="001D286B" w:rsidRDefault="001D286B" w:rsidP="001D286B">
      <w:pPr>
        <w:pStyle w:val="Prrafodelista"/>
        <w:rPr>
          <w:rFonts w:ascii="Palatino Linotype" w:hAnsi="Palatino Linotype" w:cs="Arial"/>
          <w:sz w:val="24"/>
          <w:szCs w:val="24"/>
        </w:rPr>
      </w:pPr>
    </w:p>
    <w:p w:rsidR="009979C7" w:rsidRPr="009979C7" w:rsidRDefault="008B39D9" w:rsidP="00BA26C4">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Es así, que mi</w:t>
      </w:r>
      <w:r w:rsidR="005F11DB" w:rsidRPr="00F81422">
        <w:rPr>
          <w:rFonts w:ascii="Palatino Linotype" w:hAnsi="Palatino Linotype" w:cs="Arial"/>
          <w:sz w:val="24"/>
          <w:szCs w:val="24"/>
        </w:rPr>
        <w:t xml:space="preserve"> voto </w:t>
      </w:r>
      <w:r w:rsidR="005F11DB" w:rsidRPr="00364F8B">
        <w:rPr>
          <w:rFonts w:ascii="Palatino Linotype" w:hAnsi="Palatino Linotype" w:cs="Arial"/>
          <w:sz w:val="24"/>
          <w:szCs w:val="24"/>
        </w:rPr>
        <w:t xml:space="preserve">particular se deriva del </w:t>
      </w:r>
      <w:r>
        <w:rPr>
          <w:rFonts w:ascii="Palatino Linotype" w:hAnsi="Palatino Linotype" w:cs="Arial"/>
          <w:sz w:val="24"/>
          <w:szCs w:val="24"/>
        </w:rPr>
        <w:t xml:space="preserve">acuerdo celebrado por las partes en el presente asunto derivado de la audiencia de conciliación, ya que si bien el </w:t>
      </w:r>
      <w:r>
        <w:rPr>
          <w:rFonts w:ascii="Palatino Linotype" w:hAnsi="Palatino Linotype" w:cs="Arial"/>
          <w:sz w:val="24"/>
          <w:szCs w:val="24"/>
        </w:rPr>
        <w:lastRenderedPageBreak/>
        <w:t xml:space="preserve">acuerdo satisfizo a las pretensiones de la hoy recurrente, ello quiere decir que dicha decisión </w:t>
      </w:r>
      <w:r w:rsidR="001D286B">
        <w:rPr>
          <w:rFonts w:ascii="Palatino Linotype" w:hAnsi="Palatino Linotype" w:cs="Arial"/>
          <w:sz w:val="24"/>
          <w:szCs w:val="24"/>
        </w:rPr>
        <w:t xml:space="preserve">fue la </w:t>
      </w:r>
      <w:r w:rsidR="003B7651">
        <w:rPr>
          <w:rFonts w:ascii="Palatino Linotype" w:hAnsi="Palatino Linotype" w:cs="Arial"/>
          <w:sz w:val="24"/>
          <w:szCs w:val="24"/>
        </w:rPr>
        <w:t>viable</w:t>
      </w:r>
      <w:r w:rsidR="001D286B">
        <w:rPr>
          <w:rFonts w:ascii="Palatino Linotype" w:hAnsi="Palatino Linotype" w:cs="Arial"/>
          <w:sz w:val="24"/>
          <w:szCs w:val="24"/>
        </w:rPr>
        <w:t>.</w:t>
      </w:r>
    </w:p>
    <w:p w:rsidR="009979C7" w:rsidRPr="009979C7" w:rsidRDefault="009979C7" w:rsidP="009979C7">
      <w:pPr>
        <w:pStyle w:val="Prrafodelista"/>
        <w:rPr>
          <w:rFonts w:ascii="Palatino Linotype" w:hAnsi="Palatino Linotype"/>
          <w:sz w:val="24"/>
          <w:szCs w:val="24"/>
        </w:rPr>
      </w:pPr>
    </w:p>
    <w:p w:rsidR="005F11DB" w:rsidRDefault="005F11DB" w:rsidP="00BA26C4">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Por tal motivo y e</w:t>
      </w:r>
      <w:r w:rsidR="00C81948">
        <w:rPr>
          <w:rFonts w:ascii="Palatino Linotype" w:hAnsi="Palatino Linotype" w:cs="Arial"/>
          <w:sz w:val="24"/>
          <w:szCs w:val="24"/>
        </w:rPr>
        <w:t xml:space="preserve">n términos de lo señalado por el </w:t>
      </w:r>
      <w:r w:rsidRPr="000731A1">
        <w:rPr>
          <w:rFonts w:ascii="Palatino Linotype" w:hAnsi="Palatino Linotype" w:cs="Arial"/>
          <w:sz w:val="24"/>
          <w:szCs w:val="24"/>
        </w:rPr>
        <w:t xml:space="preserve">artículo 14 fracción XI </w:t>
      </w:r>
      <w:r w:rsidRPr="006D6666">
        <w:rPr>
          <w:rFonts w:ascii="Palatino Linotype" w:hAnsi="Palatino Linotype" w:cs="Arial"/>
          <w:sz w:val="24"/>
          <w:szCs w:val="24"/>
        </w:rPr>
        <w:t xml:space="preserve">del Reglamento Interior del Instituto de Transparencia y Acceso a la Información Pública del Estado de México y Municipios </w:t>
      </w:r>
      <w:r w:rsidRPr="00C81948">
        <w:rPr>
          <w:rFonts w:ascii="Palatino Linotype" w:hAnsi="Palatino Linotype" w:cs="Arial"/>
          <w:sz w:val="24"/>
          <w:szCs w:val="24"/>
        </w:rPr>
        <w:t xml:space="preserve">formulo </w:t>
      </w:r>
      <w:r w:rsidR="00C81948" w:rsidRPr="00C81948">
        <w:rPr>
          <w:rFonts w:ascii="Palatino Linotype" w:hAnsi="Palatino Linotype" w:cs="Arial"/>
          <w:sz w:val="24"/>
          <w:szCs w:val="24"/>
        </w:rPr>
        <w:t>e</w:t>
      </w:r>
      <w:r w:rsidRPr="00C81948">
        <w:rPr>
          <w:rFonts w:ascii="Palatino Linotype" w:hAnsi="Palatino Linotype" w:cs="Arial"/>
          <w:sz w:val="24"/>
          <w:szCs w:val="24"/>
        </w:rPr>
        <w:t>l presente</w:t>
      </w:r>
      <w:r w:rsidRPr="006D6666">
        <w:rPr>
          <w:rFonts w:ascii="Palatino Linotype" w:hAnsi="Palatino Linotype" w:cs="Arial"/>
          <w:sz w:val="24"/>
          <w:szCs w:val="24"/>
        </w:rPr>
        <w:t xml:space="preserve"> </w:t>
      </w:r>
      <w:r>
        <w:rPr>
          <w:rFonts w:ascii="Palatino Linotype" w:hAnsi="Palatino Linotype" w:cs="Arial"/>
          <w:sz w:val="24"/>
          <w:szCs w:val="24"/>
        </w:rPr>
        <w:t>voto</w:t>
      </w:r>
      <w:r w:rsidR="00BA26C4">
        <w:rPr>
          <w:rFonts w:ascii="Palatino Linotype" w:hAnsi="Palatino Linotype" w:cs="Arial"/>
          <w:sz w:val="24"/>
          <w:szCs w:val="24"/>
        </w:rPr>
        <w:t xml:space="preserve"> particular, dado que no comparto dicho argumento, considerando en ese contexto, debió entrar la Ponencia </w:t>
      </w:r>
      <w:proofErr w:type="spellStart"/>
      <w:r w:rsidR="00BA26C4">
        <w:rPr>
          <w:rFonts w:ascii="Palatino Linotype" w:hAnsi="Palatino Linotype" w:cs="Arial"/>
          <w:sz w:val="24"/>
          <w:szCs w:val="24"/>
        </w:rPr>
        <w:t>Resolutora</w:t>
      </w:r>
      <w:proofErr w:type="spellEnd"/>
      <w:r w:rsidR="00BA26C4">
        <w:rPr>
          <w:rFonts w:ascii="Palatino Linotype" w:hAnsi="Palatino Linotype" w:cs="Arial"/>
          <w:sz w:val="24"/>
          <w:szCs w:val="24"/>
        </w:rPr>
        <w:t xml:space="preserve"> al estudio de dichos puntos.</w:t>
      </w:r>
    </w:p>
    <w:p w:rsidR="005F11DB" w:rsidRPr="00050296" w:rsidRDefault="005F11DB" w:rsidP="005F11DB">
      <w:pPr>
        <w:pStyle w:val="Prrafodelista"/>
        <w:rPr>
          <w:rFonts w:ascii="Palatino Linotype" w:hAnsi="Palatino Linotype" w:cs="Arial"/>
          <w:sz w:val="24"/>
          <w:szCs w:val="24"/>
        </w:rPr>
      </w:pPr>
    </w:p>
    <w:p w:rsidR="005F11DB" w:rsidRDefault="005F11DB" w:rsidP="005F11DB">
      <w:pPr>
        <w:pStyle w:val="Ttulo1"/>
        <w:numPr>
          <w:ilvl w:val="0"/>
          <w:numId w:val="13"/>
        </w:numPr>
        <w:rPr>
          <w:rFonts w:ascii="Palatino Linotype" w:hAnsi="Palatino Linotype"/>
          <w:b/>
          <w:color w:val="000000" w:themeColor="text1"/>
          <w:sz w:val="24"/>
          <w:szCs w:val="24"/>
        </w:rPr>
      </w:pPr>
      <w:bookmarkStart w:id="1" w:name="_Toc1999718"/>
      <w:r w:rsidRPr="00046952">
        <w:rPr>
          <w:rFonts w:ascii="Palatino Linotype" w:hAnsi="Palatino Linotype"/>
          <w:b/>
          <w:color w:val="000000" w:themeColor="text1"/>
          <w:sz w:val="24"/>
          <w:szCs w:val="24"/>
        </w:rPr>
        <w:t>De los requerimientos planteados en el recurso de revisión.</w:t>
      </w:r>
      <w:bookmarkEnd w:id="1"/>
    </w:p>
    <w:p w:rsidR="00BA26C4" w:rsidRPr="00BA26C4" w:rsidRDefault="00BA26C4" w:rsidP="00BA26C4"/>
    <w:p w:rsidR="005F11DB" w:rsidRPr="007F487C" w:rsidRDefault="009979C7" w:rsidP="00BA26C4">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Pr>
          <w:rFonts w:ascii="Palatino Linotype" w:hAnsi="Palatino Linotype" w:cs="Arial"/>
          <w:sz w:val="24"/>
          <w:szCs w:val="24"/>
        </w:rPr>
        <w:t>La hoy recurrente</w:t>
      </w:r>
      <w:r w:rsidR="005F11DB" w:rsidRPr="00C81948">
        <w:rPr>
          <w:rFonts w:ascii="Palatino Linotype" w:hAnsi="Palatino Linotype" w:cs="Arial"/>
          <w:sz w:val="24"/>
          <w:szCs w:val="24"/>
        </w:rPr>
        <w:t>,</w:t>
      </w:r>
      <w:r w:rsidR="005F11DB" w:rsidRPr="007F487C">
        <w:rPr>
          <w:rFonts w:ascii="Palatino Linotype" w:hAnsi="Palatino Linotype" w:cs="Arial"/>
          <w:sz w:val="24"/>
          <w:szCs w:val="24"/>
        </w:rPr>
        <w:t xml:space="preserve"> mediante solicitud de </w:t>
      </w:r>
      <w:r w:rsidR="008B39D9">
        <w:rPr>
          <w:rFonts w:ascii="Palatino Linotype" w:hAnsi="Palatino Linotype" w:cs="Arial"/>
          <w:sz w:val="24"/>
          <w:szCs w:val="24"/>
        </w:rPr>
        <w:t xml:space="preserve">oposición a datos personales </w:t>
      </w:r>
      <w:r w:rsidR="003B7651">
        <w:rPr>
          <w:rFonts w:ascii="Palatino Linotype" w:hAnsi="Palatino Linotype" w:cs="Arial"/>
          <w:sz w:val="24"/>
          <w:szCs w:val="24"/>
        </w:rPr>
        <w:t>expreso lo</w:t>
      </w:r>
      <w:r w:rsidR="005F11DB">
        <w:rPr>
          <w:rFonts w:ascii="Palatino Linotype" w:hAnsi="Palatino Linotype" w:cs="Arial"/>
          <w:sz w:val="24"/>
          <w:szCs w:val="24"/>
        </w:rPr>
        <w:t xml:space="preserve"> siguiente</w:t>
      </w:r>
      <w:r w:rsidR="005F11DB" w:rsidRPr="007F487C">
        <w:rPr>
          <w:rFonts w:ascii="Palatino Linotype" w:hAnsi="Palatino Linotype" w:cs="Arial"/>
          <w:sz w:val="24"/>
          <w:szCs w:val="24"/>
        </w:rPr>
        <w:t xml:space="preserve">: </w:t>
      </w:r>
    </w:p>
    <w:p w:rsidR="005F11DB" w:rsidRDefault="005F11DB" w:rsidP="005F11DB">
      <w:pPr>
        <w:pStyle w:val="Prrafodelista"/>
        <w:spacing w:before="240" w:after="240" w:line="360" w:lineRule="auto"/>
        <w:ind w:left="360"/>
        <w:jc w:val="both"/>
        <w:rPr>
          <w:rFonts w:ascii="Palatino Linotype" w:hAnsi="Palatino Linotype"/>
          <w:b/>
          <w:bCs/>
          <w:color w:val="000000" w:themeColor="text1"/>
        </w:rPr>
      </w:pPr>
    </w:p>
    <w:p w:rsidR="005F11DB" w:rsidRPr="0032297A" w:rsidRDefault="008B39D9" w:rsidP="005F11DB">
      <w:pPr>
        <w:pStyle w:val="Prrafodelista"/>
        <w:spacing w:before="240" w:after="240" w:line="360" w:lineRule="auto"/>
        <w:ind w:left="360"/>
        <w:jc w:val="both"/>
        <w:rPr>
          <w:rFonts w:ascii="Palatino Linotype" w:hAnsi="Palatino Linotype"/>
          <w:color w:val="000000" w:themeColor="text1"/>
        </w:rPr>
      </w:pPr>
      <w:r w:rsidRPr="008B39D9">
        <w:rPr>
          <w:rFonts w:ascii="Palatino Linotype" w:hAnsi="Palatino Linotype"/>
          <w:b/>
          <w:bCs/>
          <w:color w:val="000000" w:themeColor="text1"/>
        </w:rPr>
        <w:t>DATOS DE LOS QUE SE OPONE A SU TRATAMIENTO</w:t>
      </w:r>
      <w:r w:rsidR="005F11DB" w:rsidRPr="0032297A">
        <w:rPr>
          <w:rFonts w:ascii="Palatino Linotype" w:hAnsi="Palatino Linotype"/>
          <w:b/>
          <w:bCs/>
          <w:color w:val="000000" w:themeColor="text1"/>
        </w:rPr>
        <w:t>:</w:t>
      </w:r>
    </w:p>
    <w:p w:rsidR="004D746D" w:rsidRDefault="009979C7" w:rsidP="00242F86">
      <w:pPr>
        <w:pStyle w:val="Cuerpo"/>
        <w:ind w:left="567" w:right="333"/>
        <w:jc w:val="both"/>
        <w:rPr>
          <w:rFonts w:ascii="Palatino Linotype" w:hAnsi="Palatino Linotype" w:cs="Arial"/>
          <w:i/>
          <w:color w:val="000000" w:themeColor="text1"/>
          <w:sz w:val="24"/>
          <w:szCs w:val="24"/>
        </w:rPr>
      </w:pPr>
      <w:r w:rsidRPr="00C35F18">
        <w:rPr>
          <w:rFonts w:ascii="Palatino Linotype" w:eastAsia="Times New Roman" w:hAnsi="Palatino Linotype" w:cs="Times New Roman"/>
          <w:i/>
          <w:sz w:val="24"/>
          <w:szCs w:val="24"/>
          <w:lang w:val="es-ES_tradnl"/>
        </w:rPr>
        <w:t>“</w:t>
      </w:r>
      <w:r w:rsidR="008B39D9" w:rsidRPr="008B39D9">
        <w:rPr>
          <w:rFonts w:ascii="Palatino Linotype" w:hAnsi="Palatino Linotype"/>
          <w:i/>
        </w:rPr>
        <w:t xml:space="preserve">Nombre de los actores </w:t>
      </w:r>
      <w:r w:rsidR="00E214A2" w:rsidRPr="00E214A2">
        <w:rPr>
          <w:rFonts w:ascii="Palatino Linotype" w:hAnsi="Palatino Linotype"/>
          <w:i/>
          <w:highlight w:val="black"/>
        </w:rPr>
        <w:t>------------------------------------------------------------------------</w:t>
      </w:r>
      <w:r w:rsidR="008B39D9" w:rsidRPr="00E214A2">
        <w:rPr>
          <w:rFonts w:ascii="Palatino Linotype" w:hAnsi="Palatino Linotype"/>
          <w:i/>
          <w:highlight w:val="black"/>
        </w:rPr>
        <w:t xml:space="preserve"> </w:t>
      </w:r>
      <w:r w:rsidR="00E214A2" w:rsidRPr="00E214A2">
        <w:rPr>
          <w:rFonts w:ascii="Palatino Linotype" w:hAnsi="Palatino Linotype"/>
          <w:i/>
          <w:highlight w:val="black"/>
        </w:rPr>
        <w:t>--------------------------------------</w:t>
      </w:r>
      <w:r w:rsidR="008B39D9" w:rsidRPr="008B39D9">
        <w:rPr>
          <w:rFonts w:ascii="Palatino Linotype" w:hAnsi="Palatino Linotype"/>
          <w:i/>
        </w:rPr>
        <w:t xml:space="preserve">, número de expediente 00574/2018, fueron registrados en el Boletín Judicial http://web2.pjedomex.gob.mx/index.php/boletin-judicial sin mi consentimiento, lo que a su vez provocó que una página de dominio comercial </w:t>
      </w:r>
      <w:r w:rsidR="00E214A2">
        <w:rPr>
          <w:rFonts w:ascii="Palatino Linotype" w:hAnsi="Palatino Linotype"/>
          <w:i/>
        </w:rPr>
        <w:fldChar w:fldCharType="begin"/>
      </w:r>
      <w:r w:rsidR="00E214A2">
        <w:rPr>
          <w:rFonts w:ascii="Palatino Linotype" w:hAnsi="Palatino Linotype"/>
          <w:i/>
        </w:rPr>
        <w:instrText xml:space="preserve"> HYPERLINK "</w:instrText>
      </w:r>
      <w:r w:rsidR="00E214A2" w:rsidRPr="008B39D9">
        <w:rPr>
          <w:rFonts w:ascii="Palatino Linotype" w:hAnsi="Palatino Linotype"/>
          <w:i/>
        </w:rPr>
        <w:instrText>https:/</w:instrText>
      </w:r>
      <w:r w:rsidR="00E214A2">
        <w:rPr>
          <w:rFonts w:ascii="Palatino Linotype" w:hAnsi="Palatino Linotype"/>
          <w:i/>
        </w:rPr>
        <w:instrText xml:space="preserve">/www.poderjudicialvirtual.com" </w:instrText>
      </w:r>
      <w:r w:rsidR="00E214A2">
        <w:rPr>
          <w:rFonts w:ascii="Palatino Linotype" w:hAnsi="Palatino Linotype"/>
          <w:i/>
        </w:rPr>
        <w:fldChar w:fldCharType="separate"/>
      </w:r>
      <w:r w:rsidR="00E214A2" w:rsidRPr="00CE4F90">
        <w:rPr>
          <w:rStyle w:val="Hipervnculo"/>
          <w:rFonts w:ascii="Palatino Linotype" w:hAnsi="Palatino Linotype"/>
          <w:i/>
        </w:rPr>
        <w:t>https://www.poderjudicialvirtual.com</w:t>
      </w:r>
      <w:r w:rsidR="00E214A2">
        <w:rPr>
          <w:rFonts w:ascii="Palatino Linotype" w:hAnsi="Palatino Linotype"/>
          <w:i/>
        </w:rPr>
        <w:fldChar w:fldCharType="end"/>
      </w:r>
      <w:r w:rsidR="00E214A2">
        <w:rPr>
          <w:rFonts w:ascii="Palatino Linotype" w:hAnsi="Palatino Linotype"/>
          <w:i/>
        </w:rPr>
        <w:t xml:space="preserve">  </w:t>
      </w:r>
      <w:r w:rsidR="008B39D9" w:rsidRPr="00E214A2">
        <w:rPr>
          <w:rFonts w:ascii="Palatino Linotype" w:hAnsi="Palatino Linotype"/>
          <w:i/>
          <w:highlight w:val="black"/>
        </w:rPr>
        <w:t>-</w:t>
      </w:r>
      <w:r w:rsidR="00E214A2" w:rsidRPr="00E214A2">
        <w:rPr>
          <w:rFonts w:ascii="Palatino Linotype" w:hAnsi="Palatino Linotype"/>
          <w:i/>
          <w:highlight w:val="black"/>
        </w:rPr>
        <w:t>-----------------------------------------------------------------------------</w:t>
      </w:r>
      <w:r w:rsidR="008B39D9" w:rsidRPr="008B39D9">
        <w:rPr>
          <w:rFonts w:ascii="Palatino Linotype" w:hAnsi="Palatino Linotype"/>
          <w:i/>
        </w:rPr>
        <w:t xml:space="preserve"> los haga públicos con sólo realizar una búsqueda en google.</w:t>
      </w:r>
      <w:r w:rsidRPr="008C0E72">
        <w:rPr>
          <w:rFonts w:ascii="Palatino Linotype" w:eastAsia="Times New Roman" w:hAnsi="Palatino Linotype" w:cs="Times New Roman"/>
          <w:i/>
          <w:lang w:val="es-ES_tradnl"/>
        </w:rPr>
        <w:t xml:space="preserve">” </w:t>
      </w:r>
      <w:r w:rsidR="005F11DB" w:rsidRPr="00242F86">
        <w:rPr>
          <w:rFonts w:ascii="Palatino Linotype" w:hAnsi="Palatino Linotype" w:cs="Arial"/>
          <w:i/>
          <w:color w:val="000000" w:themeColor="text1"/>
          <w:sz w:val="24"/>
          <w:szCs w:val="24"/>
        </w:rPr>
        <w:t xml:space="preserve"> (Sic)</w:t>
      </w:r>
    </w:p>
    <w:p w:rsidR="008B39D9" w:rsidRDefault="008B39D9" w:rsidP="00242F86">
      <w:pPr>
        <w:pStyle w:val="Cuerpo"/>
        <w:ind w:left="567" w:right="333"/>
        <w:jc w:val="both"/>
        <w:rPr>
          <w:rFonts w:ascii="Palatino Linotype" w:hAnsi="Palatino Linotype" w:cs="Arial"/>
          <w:i/>
          <w:color w:val="000000" w:themeColor="text1"/>
          <w:sz w:val="24"/>
          <w:szCs w:val="24"/>
        </w:rPr>
      </w:pPr>
    </w:p>
    <w:p w:rsidR="008B39D9" w:rsidRDefault="008B39D9" w:rsidP="006F54C6">
      <w:pPr>
        <w:pStyle w:val="Cuerpo"/>
        <w:ind w:left="567" w:right="333"/>
        <w:jc w:val="both"/>
        <w:rPr>
          <w:rFonts w:ascii="Palatino Linotype" w:hAnsi="Palatino Linotype"/>
          <w:b/>
          <w:sz w:val="24"/>
          <w:szCs w:val="24"/>
        </w:rPr>
      </w:pPr>
      <w:r w:rsidRPr="008B39D9">
        <w:rPr>
          <w:rFonts w:ascii="Palatino Linotype" w:hAnsi="Palatino Linotype"/>
          <w:b/>
          <w:sz w:val="24"/>
          <w:szCs w:val="24"/>
        </w:rPr>
        <w:t>RAZONES POR LAS CUALES SE OPONE A SU TRATAMIENTO</w:t>
      </w:r>
    </w:p>
    <w:p w:rsidR="006F54C6" w:rsidRPr="006F54C6" w:rsidRDefault="006F54C6" w:rsidP="006F54C6">
      <w:pPr>
        <w:pStyle w:val="Cuerpo"/>
        <w:ind w:left="567" w:right="333"/>
        <w:jc w:val="both"/>
        <w:rPr>
          <w:rFonts w:ascii="Palatino Linotype" w:hAnsi="Palatino Linotype"/>
          <w:i/>
          <w:szCs w:val="24"/>
        </w:rPr>
      </w:pPr>
      <w:r w:rsidRPr="006F54C6">
        <w:rPr>
          <w:rFonts w:ascii="Palatino Linotype" w:hAnsi="Palatino Linotype"/>
          <w:i/>
          <w:szCs w:val="24"/>
        </w:rPr>
        <w:lastRenderedPageBreak/>
        <w:t>"En el escrito ingresado en el Juzgado Primero Familiar con sede en Toluca, Estado de México de fecha 24 de mayo del año en curso se cita claramente "SE REQUIERE A LOS PROMOVENTES PARA QUE EN SU PRÓXIMO OCURSO MANIFIESTEN EN FORMA EXPRESA SU ACEPTACIÓN EN QUE SU NOMBRE Y DATOS PERSONALES SE PUBLIQUEN COMO INFORMACIÓN NO CONFIDENCIAL, ASÍ COMO LAS RESOLUCIONES O SENTENCIA DEFINITIVA QUE SE LLEGARAN A EMITIR EN EL PRESENTE NEGOCIO, DENTRO DEL SISTEMA DE TRANSPARENCIA Y ACCESO A LA INFORMACIÓN PÚBLICA DEL PODER JUDICIAL DEL ESTADO DE MÉXICO, EN EL ENTENDIDO DE QUE LA OMISIÓN A DESAHOGAR DICHO REQUERIMIENTO CONSTITUIRÁ SU NEGATIVA"</w:t>
      </w:r>
    </w:p>
    <w:p w:rsidR="004D746D" w:rsidRPr="001649DC" w:rsidRDefault="004D746D" w:rsidP="004D746D">
      <w:pPr>
        <w:pStyle w:val="Sinespaciado"/>
        <w:tabs>
          <w:tab w:val="left" w:pos="142"/>
        </w:tabs>
        <w:spacing w:line="360" w:lineRule="auto"/>
        <w:ind w:right="334"/>
        <w:jc w:val="both"/>
        <w:rPr>
          <w:rFonts w:ascii="Palatino Linotype" w:hAnsi="Palatino Linotype" w:cs="Arial"/>
          <w:i/>
          <w:color w:val="000000" w:themeColor="text1"/>
        </w:rPr>
      </w:pPr>
    </w:p>
    <w:p w:rsidR="005F11DB" w:rsidRDefault="005F11DB" w:rsidP="00B0785D">
      <w:pPr>
        <w:pStyle w:val="Prrafodelista"/>
        <w:numPr>
          <w:ilvl w:val="0"/>
          <w:numId w:val="8"/>
        </w:numPr>
        <w:spacing w:after="0" w:line="360" w:lineRule="auto"/>
        <w:ind w:left="0" w:firstLine="0"/>
        <w:jc w:val="both"/>
        <w:rPr>
          <w:rFonts w:ascii="Palatino Linotype" w:hAnsi="Palatino Linotype" w:cs="Arial"/>
          <w:sz w:val="24"/>
          <w:szCs w:val="24"/>
        </w:rPr>
      </w:pPr>
      <w:r w:rsidRPr="00064709">
        <w:rPr>
          <w:rFonts w:ascii="Palatino Linotype" w:hAnsi="Palatino Linotype" w:cs="Arial"/>
          <w:sz w:val="24"/>
          <w:szCs w:val="24"/>
        </w:rPr>
        <w:t>En ese sentido,</w:t>
      </w:r>
      <w:r w:rsidRPr="009979C7">
        <w:rPr>
          <w:rFonts w:ascii="Palatino Linotype" w:hAnsi="Palatino Linotype" w:cs="Arial"/>
          <w:sz w:val="24"/>
          <w:szCs w:val="24"/>
        </w:rPr>
        <w:t xml:space="preserve"> </w:t>
      </w:r>
      <w:r w:rsidR="009979C7" w:rsidRPr="009979C7">
        <w:rPr>
          <w:rFonts w:ascii="Palatino Linotype" w:hAnsi="Palatino Linotype" w:cs="Arial"/>
          <w:sz w:val="24"/>
          <w:szCs w:val="24"/>
        </w:rPr>
        <w:t xml:space="preserve">la </w:t>
      </w:r>
      <w:r w:rsidR="009979C7">
        <w:rPr>
          <w:rFonts w:ascii="Palatino Linotype" w:hAnsi="Palatino Linotype" w:cs="Arial"/>
          <w:sz w:val="24"/>
          <w:szCs w:val="24"/>
        </w:rPr>
        <w:t xml:space="preserve">hoy </w:t>
      </w:r>
      <w:r w:rsidR="009979C7" w:rsidRPr="009979C7">
        <w:rPr>
          <w:rFonts w:ascii="Palatino Linotype" w:hAnsi="Palatino Linotype" w:cs="Arial"/>
          <w:sz w:val="24"/>
          <w:szCs w:val="24"/>
        </w:rPr>
        <w:t>recurrente</w:t>
      </w:r>
      <w:r>
        <w:rPr>
          <w:rFonts w:ascii="Palatino Linotype" w:hAnsi="Palatino Linotype" w:cs="Arial"/>
          <w:b/>
          <w:sz w:val="24"/>
          <w:szCs w:val="24"/>
        </w:rPr>
        <w:t xml:space="preserve"> </w:t>
      </w:r>
      <w:r w:rsidRPr="00064709">
        <w:rPr>
          <w:rFonts w:ascii="Palatino Linotype" w:hAnsi="Palatino Linotype" w:cs="Arial"/>
          <w:sz w:val="24"/>
          <w:szCs w:val="24"/>
        </w:rPr>
        <w:t xml:space="preserve"> manifestó en su recurso de revisión como acto impugnado</w:t>
      </w:r>
      <w:r>
        <w:rPr>
          <w:rFonts w:ascii="Palatino Linotype" w:hAnsi="Palatino Linotype" w:cs="Arial"/>
          <w:sz w:val="24"/>
          <w:szCs w:val="24"/>
        </w:rPr>
        <w:t xml:space="preserve"> y como razones o motivos de inconformidad</w:t>
      </w:r>
      <w:r w:rsidRPr="00064709">
        <w:rPr>
          <w:rFonts w:ascii="Palatino Linotype" w:hAnsi="Palatino Linotype" w:cs="Arial"/>
          <w:sz w:val="24"/>
          <w:szCs w:val="24"/>
        </w:rPr>
        <w:t xml:space="preserve"> lo</w:t>
      </w:r>
      <w:r>
        <w:rPr>
          <w:rFonts w:ascii="Palatino Linotype" w:hAnsi="Palatino Linotype" w:cs="Arial"/>
          <w:sz w:val="24"/>
          <w:szCs w:val="24"/>
        </w:rPr>
        <w:t>s</w:t>
      </w:r>
      <w:r w:rsidRPr="00064709">
        <w:rPr>
          <w:rFonts w:ascii="Palatino Linotype" w:hAnsi="Palatino Linotype" w:cs="Arial"/>
          <w:sz w:val="24"/>
          <w:szCs w:val="24"/>
        </w:rPr>
        <w:t xml:space="preserve"> siguiente</w:t>
      </w:r>
      <w:r>
        <w:rPr>
          <w:rFonts w:ascii="Palatino Linotype" w:hAnsi="Palatino Linotype" w:cs="Arial"/>
          <w:sz w:val="24"/>
          <w:szCs w:val="24"/>
        </w:rPr>
        <w:t>s</w:t>
      </w:r>
      <w:r w:rsidRPr="00064709">
        <w:rPr>
          <w:rFonts w:ascii="Palatino Linotype" w:hAnsi="Palatino Linotype" w:cs="Arial"/>
          <w:sz w:val="24"/>
          <w:szCs w:val="24"/>
        </w:rPr>
        <w:t>:</w:t>
      </w:r>
    </w:p>
    <w:p w:rsidR="005F11DB" w:rsidRDefault="005F11DB" w:rsidP="005F11DB">
      <w:pPr>
        <w:pStyle w:val="Prrafodelista"/>
        <w:shd w:val="clear" w:color="auto" w:fill="FFFFFF"/>
        <w:spacing w:before="240" w:after="240" w:line="360" w:lineRule="auto"/>
        <w:ind w:left="360"/>
        <w:jc w:val="both"/>
        <w:rPr>
          <w:rFonts w:ascii="Palatino Linotype" w:hAnsi="Palatino Linotype"/>
          <w:b/>
          <w:color w:val="000000" w:themeColor="text1"/>
        </w:rPr>
      </w:pP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ACTO IMPUGNADO</w:t>
      </w:r>
      <w:r w:rsidRPr="00421A7B">
        <w:rPr>
          <w:rFonts w:ascii="Palatino Linotype" w:hAnsi="Palatino Linotype" w:cs="Arial"/>
          <w:b/>
          <w:sz w:val="24"/>
          <w:szCs w:val="24"/>
        </w:rPr>
        <w:tab/>
      </w:r>
    </w:p>
    <w:p w:rsidR="005F11DB" w:rsidRPr="00242F86" w:rsidRDefault="009979C7" w:rsidP="005F11DB">
      <w:pPr>
        <w:pStyle w:val="Prrafodelista"/>
        <w:spacing w:after="0" w:line="360" w:lineRule="auto"/>
        <w:ind w:left="567" w:right="333"/>
        <w:jc w:val="both"/>
        <w:rPr>
          <w:rFonts w:ascii="Palatino Linotype" w:hAnsi="Palatino Linotype" w:cs="Arial"/>
          <w:i/>
          <w:sz w:val="24"/>
          <w:szCs w:val="24"/>
        </w:rPr>
      </w:pPr>
      <w:r w:rsidRPr="00D04234">
        <w:rPr>
          <w:rFonts w:ascii="Palatino Linotype" w:hAnsi="Palatino Linotype" w:cs="Arial"/>
          <w:i/>
        </w:rPr>
        <w:t>“</w:t>
      </w:r>
      <w:r w:rsidR="006F54C6" w:rsidRPr="006F54C6">
        <w:rPr>
          <w:rFonts w:ascii="Palatino Linotype" w:hAnsi="Palatino Linotype" w:cs="Arial"/>
          <w:i/>
        </w:rPr>
        <w:t>Respuesta emitida por la “TITULAR DE LA UNIDAD DE TRANSPARENCIA DEL PODER JUDICIAL DEL ESTADO DE MÉXICO” de fecha cinco de octubre de dos mil dieciocho relacionado con la solicitud 00002/PJUDICI/OD/2018</w:t>
      </w:r>
      <w:r w:rsidRPr="00D04234">
        <w:rPr>
          <w:rFonts w:ascii="Palatino Linotype" w:hAnsi="Palatino Linotype" w:cs="Arial"/>
          <w:i/>
        </w:rPr>
        <w:t>"</w:t>
      </w:r>
      <w:r w:rsidR="005F11DB" w:rsidRPr="00242F86">
        <w:rPr>
          <w:rFonts w:ascii="Palatino Linotype" w:hAnsi="Palatino Linotype" w:cs="Arial"/>
          <w:i/>
          <w:sz w:val="24"/>
          <w:szCs w:val="24"/>
        </w:rPr>
        <w:t xml:space="preserve"> </w:t>
      </w:r>
      <w:r w:rsidR="005F11DB" w:rsidRPr="00242F86">
        <w:rPr>
          <w:rFonts w:ascii="Palatino Linotype" w:hAnsi="Palatino Linotype" w:cs="Arial"/>
          <w:sz w:val="24"/>
          <w:szCs w:val="24"/>
        </w:rPr>
        <w:t>(Sic)</w:t>
      </w:r>
    </w:p>
    <w:p w:rsidR="005F11DB" w:rsidRPr="00421A7B" w:rsidRDefault="005F11DB" w:rsidP="005F11DB">
      <w:pPr>
        <w:pStyle w:val="Prrafodelista"/>
        <w:spacing w:after="0" w:line="360" w:lineRule="auto"/>
        <w:ind w:left="360"/>
        <w:jc w:val="both"/>
        <w:rPr>
          <w:rFonts w:ascii="Palatino Linotype" w:hAnsi="Palatino Linotype" w:cs="Arial"/>
          <w:sz w:val="24"/>
          <w:szCs w:val="24"/>
        </w:rPr>
      </w:pP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RAZONES O MOTIVOS DE LA INCONFORMIDAD</w:t>
      </w:r>
      <w:r w:rsidRPr="00421A7B">
        <w:rPr>
          <w:rFonts w:ascii="Palatino Linotype" w:hAnsi="Palatino Linotype" w:cs="Arial"/>
          <w:b/>
          <w:sz w:val="24"/>
          <w:szCs w:val="24"/>
        </w:rPr>
        <w:tab/>
      </w:r>
    </w:p>
    <w:p w:rsidR="005F11DB" w:rsidRDefault="009979C7" w:rsidP="00242F86">
      <w:pPr>
        <w:pStyle w:val="Prrafodelista"/>
        <w:spacing w:after="0" w:line="360" w:lineRule="auto"/>
        <w:ind w:left="567" w:right="616"/>
        <w:jc w:val="both"/>
        <w:rPr>
          <w:rFonts w:ascii="Palatino Linotype" w:hAnsi="Palatino Linotype" w:cs="Arial"/>
          <w:sz w:val="24"/>
          <w:szCs w:val="24"/>
        </w:rPr>
      </w:pPr>
      <w:r w:rsidRPr="004657BE">
        <w:rPr>
          <w:rFonts w:ascii="Palatino Linotype" w:hAnsi="Palatino Linotype" w:cs="Arial"/>
          <w:i/>
        </w:rPr>
        <w:t>“</w:t>
      </w:r>
      <w:r w:rsidR="006F54C6" w:rsidRPr="006F54C6">
        <w:rPr>
          <w:rFonts w:ascii="Palatino Linotype" w:hAnsi="Palatino Linotype"/>
          <w:i/>
          <w:color w:val="000000"/>
        </w:rPr>
        <w:t>Error al poner formato a la cadena</w:t>
      </w:r>
      <w:r w:rsidRPr="004657BE">
        <w:rPr>
          <w:rFonts w:ascii="Palatino Linotype" w:hAnsi="Palatino Linotype" w:cs="Arial"/>
          <w:i/>
        </w:rPr>
        <w:t xml:space="preserve">” </w:t>
      </w:r>
      <w:r w:rsidR="005F11DB" w:rsidRPr="00242F86">
        <w:rPr>
          <w:rFonts w:ascii="Palatino Linotype" w:hAnsi="Palatino Linotype" w:cs="Arial"/>
          <w:i/>
          <w:sz w:val="28"/>
          <w:szCs w:val="24"/>
        </w:rPr>
        <w:t xml:space="preserve"> </w:t>
      </w:r>
      <w:r w:rsidR="005F11DB" w:rsidRPr="00421A7B">
        <w:rPr>
          <w:rFonts w:ascii="Palatino Linotype" w:hAnsi="Palatino Linotype" w:cs="Arial"/>
          <w:sz w:val="24"/>
          <w:szCs w:val="24"/>
        </w:rPr>
        <w:t>(Sic)</w:t>
      </w:r>
    </w:p>
    <w:p w:rsidR="00261774" w:rsidRDefault="00261774" w:rsidP="00261774">
      <w:pPr>
        <w:spacing w:after="0" w:line="360" w:lineRule="auto"/>
        <w:ind w:right="333"/>
        <w:jc w:val="both"/>
        <w:rPr>
          <w:rFonts w:ascii="Palatino Linotype" w:hAnsi="Palatino Linotype" w:cs="Arial"/>
          <w:sz w:val="24"/>
          <w:szCs w:val="24"/>
        </w:rPr>
      </w:pPr>
    </w:p>
    <w:p w:rsidR="001D286B" w:rsidRPr="00261774" w:rsidRDefault="001D286B" w:rsidP="00261774">
      <w:pPr>
        <w:spacing w:after="0" w:line="360" w:lineRule="auto"/>
        <w:ind w:right="333"/>
        <w:jc w:val="both"/>
        <w:rPr>
          <w:rFonts w:ascii="Palatino Linotype" w:hAnsi="Palatino Linotype" w:cs="Arial"/>
          <w:sz w:val="24"/>
          <w:szCs w:val="24"/>
        </w:rPr>
      </w:pPr>
    </w:p>
    <w:p w:rsidR="001D286B" w:rsidRDefault="001D286B" w:rsidP="001D286B">
      <w:pPr>
        <w:pStyle w:val="Prrafodelista"/>
        <w:spacing w:after="0" w:line="360" w:lineRule="auto"/>
        <w:ind w:left="0"/>
        <w:jc w:val="both"/>
        <w:rPr>
          <w:rFonts w:ascii="Palatino Linotype" w:hAnsi="Palatino Linotype" w:cs="Arial"/>
          <w:sz w:val="24"/>
          <w:szCs w:val="24"/>
        </w:rPr>
      </w:pPr>
    </w:p>
    <w:p w:rsidR="001D286B" w:rsidRDefault="001D286B" w:rsidP="001D286B">
      <w:pPr>
        <w:pStyle w:val="Ttulo1"/>
        <w:numPr>
          <w:ilvl w:val="0"/>
          <w:numId w:val="13"/>
        </w:numPr>
        <w:rPr>
          <w:rFonts w:ascii="Palatino Linotype" w:hAnsi="Palatino Linotype"/>
          <w:b/>
          <w:color w:val="000000" w:themeColor="text1"/>
          <w:sz w:val="24"/>
          <w:szCs w:val="24"/>
        </w:rPr>
      </w:pPr>
      <w:bookmarkStart w:id="2" w:name="_Toc1999719"/>
      <w:r>
        <w:rPr>
          <w:rFonts w:ascii="Palatino Linotype" w:hAnsi="Palatino Linotype"/>
          <w:b/>
          <w:color w:val="000000" w:themeColor="text1"/>
          <w:sz w:val="24"/>
          <w:szCs w:val="24"/>
        </w:rPr>
        <w:lastRenderedPageBreak/>
        <w:t>Del acuerdo en el proceso de conciliación</w:t>
      </w:r>
      <w:r w:rsidRPr="00046952">
        <w:rPr>
          <w:rFonts w:ascii="Palatino Linotype" w:hAnsi="Palatino Linotype"/>
          <w:b/>
          <w:color w:val="000000" w:themeColor="text1"/>
          <w:sz w:val="24"/>
          <w:szCs w:val="24"/>
        </w:rPr>
        <w:t>.</w:t>
      </w:r>
      <w:bookmarkEnd w:id="2"/>
    </w:p>
    <w:p w:rsidR="001D286B" w:rsidRDefault="001D286B" w:rsidP="001D286B">
      <w:pPr>
        <w:pStyle w:val="Prrafodelista"/>
        <w:spacing w:after="0" w:line="360" w:lineRule="auto"/>
        <w:ind w:left="0"/>
        <w:jc w:val="both"/>
        <w:rPr>
          <w:rFonts w:ascii="Palatino Linotype" w:hAnsi="Palatino Linotype" w:cs="Arial"/>
          <w:sz w:val="24"/>
          <w:szCs w:val="24"/>
        </w:rPr>
      </w:pPr>
    </w:p>
    <w:p w:rsidR="006F54C6" w:rsidRDefault="006F54C6" w:rsidP="006F54C6">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Primeramente</w:t>
      </w:r>
      <w:r w:rsidR="005F11DB" w:rsidRPr="005871A7">
        <w:rPr>
          <w:rFonts w:ascii="Palatino Linotype" w:hAnsi="Palatino Linotype" w:cs="Arial"/>
          <w:sz w:val="24"/>
          <w:szCs w:val="24"/>
        </w:rPr>
        <w:t xml:space="preserve"> destacar, </w:t>
      </w:r>
      <w:r>
        <w:rPr>
          <w:rFonts w:ascii="Palatino Linotype" w:hAnsi="Palatino Linotype" w:cs="Arial"/>
          <w:sz w:val="24"/>
          <w:szCs w:val="24"/>
        </w:rPr>
        <w:t>la voluntad de las partes para conciliar</w:t>
      </w:r>
      <w:r w:rsidRPr="006F54C6">
        <w:t xml:space="preserve"> </w:t>
      </w:r>
      <w:r>
        <w:rPr>
          <w:rFonts w:ascii="Palatino Linotype" w:hAnsi="Palatino Linotype" w:cs="Arial"/>
          <w:sz w:val="24"/>
          <w:szCs w:val="24"/>
        </w:rPr>
        <w:t>y de acceder a ese</w:t>
      </w:r>
      <w:r w:rsidRPr="006F54C6">
        <w:rPr>
          <w:rFonts w:ascii="Palatino Linotype" w:hAnsi="Palatino Linotype" w:cs="Arial"/>
          <w:sz w:val="24"/>
          <w:szCs w:val="24"/>
        </w:rPr>
        <w:t xml:space="preserve"> proceso voluntario </w:t>
      </w:r>
      <w:r>
        <w:rPr>
          <w:rFonts w:ascii="Palatino Linotype" w:hAnsi="Palatino Linotype" w:cs="Arial"/>
          <w:sz w:val="24"/>
          <w:szCs w:val="24"/>
        </w:rPr>
        <w:t xml:space="preserve">como un mecanismo alterno de solución; </w:t>
      </w:r>
      <w:r w:rsidRPr="006F54C6">
        <w:rPr>
          <w:rFonts w:ascii="Palatino Linotype" w:hAnsi="Palatino Linotype" w:cs="Arial"/>
          <w:sz w:val="24"/>
          <w:szCs w:val="24"/>
        </w:rPr>
        <w:t xml:space="preserve">sin embargo, </w:t>
      </w:r>
      <w:r>
        <w:rPr>
          <w:rFonts w:ascii="Palatino Linotype" w:hAnsi="Palatino Linotype" w:cs="Arial"/>
          <w:sz w:val="24"/>
          <w:szCs w:val="24"/>
        </w:rPr>
        <w:t xml:space="preserve">consideró que </w:t>
      </w:r>
      <w:r w:rsidRPr="006F54C6">
        <w:rPr>
          <w:rFonts w:ascii="Palatino Linotype" w:hAnsi="Palatino Linotype" w:cs="Arial"/>
          <w:sz w:val="24"/>
          <w:szCs w:val="24"/>
        </w:rPr>
        <w:t xml:space="preserve">quien </w:t>
      </w:r>
      <w:r>
        <w:rPr>
          <w:rFonts w:ascii="Palatino Linotype" w:hAnsi="Palatino Linotype" w:cs="Arial"/>
          <w:sz w:val="24"/>
          <w:szCs w:val="24"/>
        </w:rPr>
        <w:t xml:space="preserve">debe asegurarse que </w:t>
      </w:r>
      <w:r w:rsidR="001D286B">
        <w:rPr>
          <w:rFonts w:ascii="Palatino Linotype" w:hAnsi="Palatino Linotype" w:cs="Arial"/>
          <w:sz w:val="24"/>
          <w:szCs w:val="24"/>
        </w:rPr>
        <w:t>se</w:t>
      </w:r>
      <w:r>
        <w:rPr>
          <w:rFonts w:ascii="Palatino Linotype" w:hAnsi="Palatino Linotype" w:cs="Arial"/>
          <w:sz w:val="24"/>
          <w:szCs w:val="24"/>
        </w:rPr>
        <w:t xml:space="preserve"> tomará</w:t>
      </w:r>
      <w:r w:rsidRPr="006F54C6">
        <w:rPr>
          <w:rFonts w:ascii="Palatino Linotype" w:hAnsi="Palatino Linotype" w:cs="Arial"/>
          <w:sz w:val="24"/>
          <w:szCs w:val="24"/>
        </w:rPr>
        <w:t xml:space="preserve"> </w:t>
      </w:r>
      <w:r w:rsidR="001D286B">
        <w:rPr>
          <w:rFonts w:ascii="Palatino Linotype" w:hAnsi="Palatino Linotype" w:cs="Arial"/>
          <w:sz w:val="24"/>
          <w:szCs w:val="24"/>
        </w:rPr>
        <w:t>una correcta</w:t>
      </w:r>
      <w:r w:rsidRPr="006F54C6">
        <w:rPr>
          <w:rFonts w:ascii="Palatino Linotype" w:hAnsi="Palatino Linotype" w:cs="Arial"/>
          <w:sz w:val="24"/>
          <w:szCs w:val="24"/>
        </w:rPr>
        <w:t xml:space="preserve"> resolución final</w:t>
      </w:r>
      <w:r w:rsidR="001D286B">
        <w:rPr>
          <w:rFonts w:ascii="Palatino Linotype" w:hAnsi="Palatino Linotype" w:cs="Arial"/>
          <w:sz w:val="24"/>
          <w:szCs w:val="24"/>
        </w:rPr>
        <w:t>,</w:t>
      </w:r>
      <w:r w:rsidRPr="006F54C6">
        <w:rPr>
          <w:rFonts w:ascii="Palatino Linotype" w:hAnsi="Palatino Linotype" w:cs="Arial"/>
          <w:sz w:val="24"/>
          <w:szCs w:val="24"/>
        </w:rPr>
        <w:t xml:space="preserve"> sea un experto</w:t>
      </w:r>
      <w:r>
        <w:rPr>
          <w:rFonts w:ascii="Palatino Linotype" w:hAnsi="Palatino Linotype" w:cs="Arial"/>
          <w:sz w:val="24"/>
          <w:szCs w:val="24"/>
        </w:rPr>
        <w:t>, que en este caso es este Órgano Garante.</w:t>
      </w:r>
    </w:p>
    <w:p w:rsidR="006F54C6" w:rsidRDefault="006F54C6" w:rsidP="006F54C6">
      <w:pPr>
        <w:pStyle w:val="Prrafodelista"/>
        <w:spacing w:after="0" w:line="360" w:lineRule="auto"/>
        <w:ind w:left="0"/>
        <w:jc w:val="both"/>
        <w:rPr>
          <w:rFonts w:ascii="Palatino Linotype" w:hAnsi="Palatino Linotype" w:cs="Arial"/>
          <w:sz w:val="24"/>
          <w:szCs w:val="24"/>
        </w:rPr>
      </w:pPr>
    </w:p>
    <w:p w:rsidR="006F54C6" w:rsidRDefault="006F54C6" w:rsidP="00D14A5C">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Del acuerdo al que arribaron las partes, fue el de </w:t>
      </w:r>
      <w:r w:rsidR="00D14A5C">
        <w:rPr>
          <w:rFonts w:ascii="Palatino Linotype" w:hAnsi="Palatino Linotype" w:cs="Arial"/>
          <w:sz w:val="24"/>
          <w:szCs w:val="24"/>
        </w:rPr>
        <w:t>eliminar el</w:t>
      </w:r>
      <w:r w:rsidR="00D14A5C" w:rsidRPr="00D14A5C">
        <w:rPr>
          <w:rFonts w:ascii="Palatino Linotype" w:hAnsi="Palatino Linotype" w:cs="Arial"/>
          <w:sz w:val="24"/>
          <w:szCs w:val="24"/>
        </w:rPr>
        <w:t xml:space="preserve"> nombre </w:t>
      </w:r>
      <w:r w:rsidR="00D14A5C">
        <w:rPr>
          <w:rFonts w:ascii="Palatino Linotype" w:hAnsi="Palatino Linotype" w:cs="Arial"/>
          <w:sz w:val="24"/>
          <w:szCs w:val="24"/>
        </w:rPr>
        <w:t xml:space="preserve">de la recurrente </w:t>
      </w:r>
      <w:r w:rsidR="00D14A5C" w:rsidRPr="00D14A5C">
        <w:rPr>
          <w:rFonts w:ascii="Palatino Linotype" w:hAnsi="Palatino Linotype" w:cs="Arial"/>
          <w:sz w:val="24"/>
          <w:szCs w:val="24"/>
        </w:rPr>
        <w:t>en las publicaciones en el Boletín Judicial</w:t>
      </w:r>
      <w:r w:rsidR="00D14A5C">
        <w:rPr>
          <w:rFonts w:ascii="Palatino Linotype" w:hAnsi="Palatino Linotype" w:cs="Arial"/>
          <w:sz w:val="24"/>
          <w:szCs w:val="24"/>
        </w:rPr>
        <w:t>; es decir la alteración del mismo el cual es un documento público.</w:t>
      </w:r>
    </w:p>
    <w:p w:rsidR="00D14A5C" w:rsidRPr="00D14A5C" w:rsidRDefault="00D14A5C" w:rsidP="00D14A5C">
      <w:pPr>
        <w:pStyle w:val="Prrafodelista"/>
        <w:rPr>
          <w:rFonts w:ascii="Palatino Linotype" w:hAnsi="Palatino Linotype" w:cs="Arial"/>
          <w:sz w:val="24"/>
          <w:szCs w:val="24"/>
        </w:rPr>
      </w:pPr>
    </w:p>
    <w:p w:rsidR="00D14A5C" w:rsidRDefault="00D14A5C" w:rsidP="00D14A5C">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Ahora bien</w:t>
      </w:r>
      <w:r w:rsidR="00B70636">
        <w:rPr>
          <w:rFonts w:ascii="Palatino Linotype" w:hAnsi="Palatino Linotype" w:cs="Arial"/>
          <w:sz w:val="24"/>
          <w:szCs w:val="24"/>
        </w:rPr>
        <w:t>,</w:t>
      </w:r>
      <w:r>
        <w:rPr>
          <w:rFonts w:ascii="Palatino Linotype" w:hAnsi="Palatino Linotype" w:cs="Arial"/>
          <w:sz w:val="24"/>
          <w:szCs w:val="24"/>
        </w:rPr>
        <w:t xml:space="preserve"> como refirió el Sujeto Obligado en su </w:t>
      </w:r>
      <w:r w:rsidR="00B70636">
        <w:rPr>
          <w:rFonts w:ascii="Palatino Linotype" w:hAnsi="Palatino Linotype" w:cs="Arial"/>
          <w:sz w:val="24"/>
          <w:szCs w:val="24"/>
        </w:rPr>
        <w:t xml:space="preserve">contestación, </w:t>
      </w:r>
      <w:r>
        <w:rPr>
          <w:rFonts w:ascii="Palatino Linotype" w:hAnsi="Palatino Linotype" w:cs="Arial"/>
          <w:sz w:val="24"/>
          <w:szCs w:val="24"/>
        </w:rPr>
        <w:t xml:space="preserve">la hoy recurrente </w:t>
      </w:r>
      <w:r w:rsidR="00B70636">
        <w:rPr>
          <w:rFonts w:ascii="Palatino Linotype" w:hAnsi="Palatino Linotype" w:cs="Arial"/>
          <w:sz w:val="24"/>
          <w:szCs w:val="24"/>
        </w:rPr>
        <w:t xml:space="preserve">ya </w:t>
      </w:r>
      <w:r>
        <w:rPr>
          <w:rFonts w:ascii="Palatino Linotype" w:hAnsi="Palatino Linotype" w:cs="Arial"/>
          <w:sz w:val="24"/>
          <w:szCs w:val="24"/>
        </w:rPr>
        <w:t>había aut</w:t>
      </w:r>
      <w:r w:rsidR="00B70636">
        <w:rPr>
          <w:rFonts w:ascii="Palatino Linotype" w:hAnsi="Palatino Linotype" w:cs="Arial"/>
          <w:sz w:val="24"/>
          <w:szCs w:val="24"/>
        </w:rPr>
        <w:t xml:space="preserve">orizado que se le notificaran los acuerdos y resoluciones derivados del juicio de referencia por esa vía, contexto que además se colige </w:t>
      </w:r>
      <w:r w:rsidR="001D286B">
        <w:rPr>
          <w:rFonts w:ascii="Palatino Linotype" w:hAnsi="Palatino Linotype" w:cs="Arial"/>
          <w:sz w:val="24"/>
          <w:szCs w:val="24"/>
        </w:rPr>
        <w:t>no autorizó</w:t>
      </w:r>
      <w:r w:rsidR="00B70636">
        <w:rPr>
          <w:rFonts w:ascii="Palatino Linotype" w:hAnsi="Palatino Linotype" w:cs="Arial"/>
          <w:sz w:val="24"/>
          <w:szCs w:val="24"/>
        </w:rPr>
        <w:t xml:space="preserve"> por un eventual desconocimiento de sus implicaciones, ya que incluso, al realizar la búsqueda del nombre de la recurrente además de desprenderse su nombre como parte de un juicio como ella misma refiere, también se advierte de la búsqueda que la misma es o fue servidora pública en un órgano de control interno, de lo que se deduce conocía las implicaciones del  ser notificado por esa </w:t>
      </w:r>
      <w:r w:rsidR="00680550">
        <w:rPr>
          <w:rFonts w:ascii="Palatino Linotype" w:hAnsi="Palatino Linotype" w:cs="Arial"/>
          <w:sz w:val="24"/>
          <w:szCs w:val="24"/>
        </w:rPr>
        <w:t>vía</w:t>
      </w:r>
      <w:r w:rsidR="00B70636">
        <w:rPr>
          <w:rFonts w:ascii="Palatino Linotype" w:hAnsi="Palatino Linotype" w:cs="Arial"/>
          <w:sz w:val="24"/>
          <w:szCs w:val="24"/>
        </w:rPr>
        <w:t>.</w:t>
      </w:r>
    </w:p>
    <w:p w:rsidR="00B70636" w:rsidRPr="00B70636" w:rsidRDefault="00B70636" w:rsidP="00B70636">
      <w:pPr>
        <w:pStyle w:val="Prrafodelista"/>
        <w:rPr>
          <w:rFonts w:ascii="Palatino Linotype" w:hAnsi="Palatino Linotype" w:cs="Arial"/>
          <w:sz w:val="24"/>
          <w:szCs w:val="24"/>
        </w:rPr>
      </w:pPr>
    </w:p>
    <w:p w:rsidR="00B70636" w:rsidRDefault="00680550" w:rsidP="00680550">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Si bien, quedaron entendidos los agravios expuestos por parte de la particular </w:t>
      </w:r>
      <w:r w:rsidRPr="00680550">
        <w:rPr>
          <w:rFonts w:ascii="Palatino Linotype" w:hAnsi="Palatino Linotype" w:cs="Arial"/>
          <w:sz w:val="24"/>
          <w:szCs w:val="24"/>
        </w:rPr>
        <w:t xml:space="preserve">al manifestar que la publicación de su nombre en el boletín judicial causó una </w:t>
      </w:r>
      <w:r>
        <w:rPr>
          <w:rFonts w:ascii="Palatino Linotype" w:hAnsi="Palatino Linotype" w:cs="Arial"/>
          <w:sz w:val="24"/>
          <w:szCs w:val="24"/>
        </w:rPr>
        <w:t>afectación directa en sus hijos</w:t>
      </w:r>
      <w:r w:rsidRPr="00680550">
        <w:rPr>
          <w:rFonts w:ascii="Palatino Linotype" w:hAnsi="Palatino Linotype" w:cs="Arial"/>
          <w:sz w:val="24"/>
          <w:szCs w:val="24"/>
        </w:rPr>
        <w:t xml:space="preserve"> </w:t>
      </w:r>
      <w:r>
        <w:rPr>
          <w:rFonts w:ascii="Palatino Linotype" w:hAnsi="Palatino Linotype" w:cs="Arial"/>
          <w:sz w:val="24"/>
          <w:szCs w:val="24"/>
        </w:rPr>
        <w:t xml:space="preserve">y que dicho contexto </w:t>
      </w:r>
      <w:r w:rsidRPr="00680550">
        <w:rPr>
          <w:rFonts w:ascii="Palatino Linotype" w:hAnsi="Palatino Linotype" w:cs="Arial"/>
          <w:sz w:val="24"/>
          <w:szCs w:val="24"/>
        </w:rPr>
        <w:t>no pasó inadvertid</w:t>
      </w:r>
      <w:r>
        <w:rPr>
          <w:rFonts w:ascii="Palatino Linotype" w:hAnsi="Palatino Linotype" w:cs="Arial"/>
          <w:sz w:val="24"/>
          <w:szCs w:val="24"/>
        </w:rPr>
        <w:t>o</w:t>
      </w:r>
      <w:r w:rsidRPr="00680550">
        <w:rPr>
          <w:rFonts w:ascii="Palatino Linotype" w:hAnsi="Palatino Linotype" w:cs="Arial"/>
          <w:sz w:val="24"/>
          <w:szCs w:val="24"/>
        </w:rPr>
        <w:t xml:space="preserve"> por el Sujeto </w:t>
      </w:r>
      <w:r w:rsidRPr="00680550">
        <w:rPr>
          <w:rFonts w:ascii="Palatino Linotype" w:hAnsi="Palatino Linotype" w:cs="Arial"/>
          <w:sz w:val="24"/>
          <w:szCs w:val="24"/>
        </w:rPr>
        <w:lastRenderedPageBreak/>
        <w:t>Obligado</w:t>
      </w:r>
      <w:r>
        <w:rPr>
          <w:rFonts w:ascii="Palatino Linotype" w:hAnsi="Palatino Linotype" w:cs="Arial"/>
          <w:sz w:val="24"/>
          <w:szCs w:val="24"/>
        </w:rPr>
        <w:t xml:space="preserve"> ni la Ponencia que resolvió, ello no implica que el acuerdo al que se llegó fuera el idóneo para dar solución al conflicto, pues no comparto que se haya alterado el boletín judicial mismo que insisto es un documento público.</w:t>
      </w:r>
    </w:p>
    <w:p w:rsidR="00680550" w:rsidRPr="00680550" w:rsidRDefault="00680550" w:rsidP="00680550">
      <w:pPr>
        <w:pStyle w:val="Prrafodelista"/>
        <w:rPr>
          <w:rFonts w:ascii="Palatino Linotype" w:hAnsi="Palatino Linotype" w:cs="Arial"/>
          <w:sz w:val="24"/>
          <w:szCs w:val="24"/>
        </w:rPr>
      </w:pPr>
    </w:p>
    <w:p w:rsidR="00680550" w:rsidRDefault="00680550" w:rsidP="001D286B">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 todo caso, lo que debió llevarse a cabo es </w:t>
      </w:r>
      <w:r w:rsidR="001D286B">
        <w:rPr>
          <w:rFonts w:ascii="Palatino Linotype" w:hAnsi="Palatino Linotype" w:cs="Arial"/>
          <w:sz w:val="24"/>
          <w:szCs w:val="24"/>
        </w:rPr>
        <w:t xml:space="preserve">la </w:t>
      </w:r>
      <w:r w:rsidR="001D286B" w:rsidRPr="001D286B">
        <w:rPr>
          <w:rFonts w:ascii="Palatino Linotype" w:hAnsi="Palatino Linotype" w:cs="Arial"/>
          <w:sz w:val="24"/>
          <w:szCs w:val="24"/>
        </w:rPr>
        <w:t>desindexación de</w:t>
      </w:r>
      <w:r w:rsidR="001D286B">
        <w:rPr>
          <w:rFonts w:ascii="Palatino Linotype" w:hAnsi="Palatino Linotype" w:cs="Arial"/>
          <w:sz w:val="24"/>
          <w:szCs w:val="24"/>
        </w:rPr>
        <w:t>l</w:t>
      </w:r>
      <w:r w:rsidR="001D286B" w:rsidRPr="001D286B">
        <w:rPr>
          <w:rFonts w:ascii="Palatino Linotype" w:hAnsi="Palatino Linotype" w:cs="Arial"/>
          <w:sz w:val="24"/>
          <w:szCs w:val="24"/>
        </w:rPr>
        <w:t xml:space="preserve"> contenido</w:t>
      </w:r>
      <w:r w:rsidR="001D286B" w:rsidRPr="001D286B">
        <w:t xml:space="preserve"> </w:t>
      </w:r>
      <w:r w:rsidR="001D286B" w:rsidRPr="001D286B">
        <w:rPr>
          <w:rFonts w:ascii="Palatino Linotype" w:hAnsi="Palatino Linotype" w:cs="Arial"/>
          <w:sz w:val="24"/>
          <w:szCs w:val="24"/>
        </w:rPr>
        <w:t>mismo que consiste en eliminar de los resultados de una búsqueda</w:t>
      </w:r>
      <w:r w:rsidR="003B7651">
        <w:rPr>
          <w:rFonts w:ascii="Palatino Linotype" w:hAnsi="Palatino Linotype" w:cs="Arial"/>
          <w:sz w:val="24"/>
          <w:szCs w:val="24"/>
        </w:rPr>
        <w:t>,</w:t>
      </w:r>
      <w:r w:rsidR="001D286B" w:rsidRPr="001D286B">
        <w:rPr>
          <w:rFonts w:ascii="Palatino Linotype" w:hAnsi="Palatino Linotype" w:cs="Arial"/>
          <w:sz w:val="24"/>
          <w:szCs w:val="24"/>
        </w:rPr>
        <w:t xml:space="preserve"> los enlaces en los que se hace referencia a datos personales de un particular</w:t>
      </w:r>
      <w:r w:rsidR="001D286B">
        <w:rPr>
          <w:rFonts w:ascii="Palatino Linotype" w:hAnsi="Palatino Linotype" w:cs="Arial"/>
          <w:sz w:val="24"/>
          <w:szCs w:val="24"/>
        </w:rPr>
        <w:t xml:space="preserve"> </w:t>
      </w:r>
      <w:r w:rsidR="001D286B" w:rsidRPr="001D286B">
        <w:rPr>
          <w:rFonts w:ascii="Palatino Linotype" w:hAnsi="Palatino Linotype" w:cs="Arial"/>
          <w:sz w:val="24"/>
          <w:szCs w:val="24"/>
        </w:rPr>
        <w:t xml:space="preserve">el afectado que considere que cierta información accesible a través de los buscadores le afecta, </w:t>
      </w:r>
      <w:r w:rsidR="006120D3">
        <w:rPr>
          <w:rFonts w:ascii="Palatino Linotype" w:hAnsi="Palatino Linotype" w:cs="Arial"/>
          <w:sz w:val="24"/>
          <w:szCs w:val="24"/>
        </w:rPr>
        <w:t xml:space="preserve">en virtud que del caso concreto se </w:t>
      </w:r>
      <w:r w:rsidR="001D286B" w:rsidRPr="001D286B">
        <w:rPr>
          <w:rFonts w:ascii="Palatino Linotype" w:hAnsi="Palatino Linotype" w:cs="Arial"/>
          <w:sz w:val="24"/>
          <w:szCs w:val="24"/>
        </w:rPr>
        <w:t>acredit</w:t>
      </w:r>
      <w:r w:rsidR="006120D3">
        <w:rPr>
          <w:rFonts w:ascii="Palatino Linotype" w:hAnsi="Palatino Linotype" w:cs="Arial"/>
          <w:sz w:val="24"/>
          <w:szCs w:val="24"/>
        </w:rPr>
        <w:t>ó la</w:t>
      </w:r>
      <w:r w:rsidR="001D286B" w:rsidRPr="001D286B">
        <w:rPr>
          <w:rFonts w:ascii="Palatino Linotype" w:hAnsi="Palatino Linotype" w:cs="Arial"/>
          <w:sz w:val="24"/>
          <w:szCs w:val="24"/>
        </w:rPr>
        <w:t xml:space="preserve"> identidad</w:t>
      </w:r>
      <w:r w:rsidR="006120D3">
        <w:rPr>
          <w:rFonts w:ascii="Palatino Linotype" w:hAnsi="Palatino Linotype" w:cs="Arial"/>
          <w:sz w:val="24"/>
          <w:szCs w:val="24"/>
        </w:rPr>
        <w:t xml:space="preserve"> de la particular</w:t>
      </w:r>
      <w:r w:rsidR="001D286B" w:rsidRPr="001D286B">
        <w:rPr>
          <w:rFonts w:ascii="Palatino Linotype" w:hAnsi="Palatino Linotype" w:cs="Arial"/>
          <w:sz w:val="24"/>
          <w:szCs w:val="24"/>
        </w:rPr>
        <w:t xml:space="preserve">, </w:t>
      </w:r>
      <w:r w:rsidR="006120D3">
        <w:rPr>
          <w:rFonts w:ascii="Palatino Linotype" w:hAnsi="Palatino Linotype" w:cs="Arial"/>
          <w:sz w:val="24"/>
          <w:szCs w:val="24"/>
        </w:rPr>
        <w:t>s</w:t>
      </w:r>
      <w:r w:rsidR="001D286B" w:rsidRPr="001D286B">
        <w:rPr>
          <w:rFonts w:ascii="Palatino Linotype" w:hAnsi="Palatino Linotype" w:cs="Arial"/>
          <w:sz w:val="24"/>
          <w:szCs w:val="24"/>
        </w:rPr>
        <w:t>e justific</w:t>
      </w:r>
      <w:r w:rsidR="006120D3">
        <w:rPr>
          <w:rFonts w:ascii="Palatino Linotype" w:hAnsi="Palatino Linotype" w:cs="Arial"/>
          <w:sz w:val="24"/>
          <w:szCs w:val="24"/>
        </w:rPr>
        <w:t>ó</w:t>
      </w:r>
      <w:r w:rsidR="001D286B" w:rsidRPr="001D286B">
        <w:rPr>
          <w:rFonts w:ascii="Palatino Linotype" w:hAnsi="Palatino Linotype" w:cs="Arial"/>
          <w:sz w:val="24"/>
          <w:szCs w:val="24"/>
        </w:rPr>
        <w:t xml:space="preserve"> que la información publicada </w:t>
      </w:r>
      <w:r w:rsidR="006120D3">
        <w:rPr>
          <w:rFonts w:ascii="Palatino Linotype" w:hAnsi="Palatino Linotype" w:cs="Arial"/>
          <w:sz w:val="24"/>
          <w:szCs w:val="24"/>
        </w:rPr>
        <w:t>le causaba agravios y por tanto</w:t>
      </w:r>
      <w:r w:rsidR="001D286B" w:rsidRPr="001D286B">
        <w:rPr>
          <w:rFonts w:ascii="Palatino Linotype" w:hAnsi="Palatino Linotype" w:cs="Arial"/>
          <w:sz w:val="24"/>
          <w:szCs w:val="24"/>
        </w:rPr>
        <w:t xml:space="preserve"> </w:t>
      </w:r>
      <w:r w:rsidR="006120D3">
        <w:rPr>
          <w:rFonts w:ascii="Palatino Linotype" w:hAnsi="Palatino Linotype" w:cs="Arial"/>
          <w:sz w:val="24"/>
          <w:szCs w:val="24"/>
        </w:rPr>
        <w:t xml:space="preserve">era viable que fuera </w:t>
      </w:r>
      <w:proofErr w:type="spellStart"/>
      <w:r w:rsidR="006120D3">
        <w:rPr>
          <w:rFonts w:ascii="Palatino Linotype" w:hAnsi="Palatino Linotype" w:cs="Arial"/>
          <w:sz w:val="24"/>
          <w:szCs w:val="24"/>
        </w:rPr>
        <w:t>desindexado</w:t>
      </w:r>
      <w:proofErr w:type="spellEnd"/>
      <w:r w:rsidR="006120D3">
        <w:rPr>
          <w:rFonts w:ascii="Palatino Linotype" w:hAnsi="Palatino Linotype" w:cs="Arial"/>
          <w:sz w:val="24"/>
          <w:szCs w:val="24"/>
        </w:rPr>
        <w:t xml:space="preserve"> del</w:t>
      </w:r>
      <w:r w:rsidR="001D286B" w:rsidRPr="001D286B">
        <w:rPr>
          <w:rFonts w:ascii="Palatino Linotype" w:hAnsi="Palatino Linotype" w:cs="Arial"/>
          <w:sz w:val="24"/>
          <w:szCs w:val="24"/>
        </w:rPr>
        <w:t xml:space="preserve"> índice de resultados cuando se realice una búsqueda de su nombre y apellidos.</w:t>
      </w:r>
      <w:r w:rsidR="006120D3">
        <w:rPr>
          <w:rFonts w:ascii="Palatino Linotype" w:hAnsi="Palatino Linotype" w:cs="Arial"/>
          <w:sz w:val="24"/>
          <w:szCs w:val="24"/>
        </w:rPr>
        <w:t xml:space="preserve"> </w:t>
      </w:r>
    </w:p>
    <w:p w:rsidR="006120D3" w:rsidRPr="006120D3" w:rsidRDefault="006120D3" w:rsidP="006120D3">
      <w:pPr>
        <w:pStyle w:val="Prrafodelista"/>
        <w:rPr>
          <w:rFonts w:ascii="Palatino Linotype" w:hAnsi="Palatino Linotype" w:cs="Arial"/>
          <w:sz w:val="24"/>
          <w:szCs w:val="24"/>
        </w:rPr>
      </w:pPr>
    </w:p>
    <w:p w:rsidR="006120D3" w:rsidRDefault="006120D3" w:rsidP="001D286B">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De lo anterior se concluye, que el hecho de que las partes hayan llegado a un acuerdo, que eventualmente satisface los intereses del particular, quiere decir que el mismo es correcto y consecuentemente deba ser avalado por este Órgano Garante sin emitir una postura al respecto o proponer las alternativas aplicables a cada caso concreto, ya que es precisamente este Instituto quien funge como conciliador y experto en la materia.</w:t>
      </w:r>
    </w:p>
    <w:p w:rsidR="00680550" w:rsidRPr="00680550" w:rsidRDefault="00680550" w:rsidP="00680550">
      <w:pPr>
        <w:pStyle w:val="Prrafodelista"/>
        <w:rPr>
          <w:rFonts w:ascii="Palatino Linotype" w:hAnsi="Palatino Linotype" w:cs="Arial"/>
          <w:sz w:val="24"/>
          <w:szCs w:val="24"/>
        </w:rPr>
      </w:pPr>
    </w:p>
    <w:p w:rsidR="005F11DB" w:rsidRPr="00F551C2" w:rsidRDefault="005F11DB" w:rsidP="002E5257">
      <w:pPr>
        <w:pStyle w:val="Prrafodelista"/>
        <w:numPr>
          <w:ilvl w:val="0"/>
          <w:numId w:val="8"/>
        </w:numPr>
        <w:spacing w:after="0" w:line="360" w:lineRule="auto"/>
        <w:ind w:left="0" w:firstLine="0"/>
        <w:jc w:val="both"/>
        <w:rPr>
          <w:rFonts w:ascii="Palatino Linotype" w:hAnsi="Palatino Linotype" w:cs="Arial"/>
          <w:sz w:val="24"/>
          <w:szCs w:val="24"/>
        </w:rPr>
      </w:pPr>
      <w:r w:rsidRPr="00F551C2">
        <w:rPr>
          <w:rFonts w:ascii="Palatino Linotype" w:hAnsi="Palatino Linotype" w:cs="Arial"/>
          <w:sz w:val="24"/>
          <w:szCs w:val="24"/>
        </w:rPr>
        <w:t xml:space="preserve">Este Órgano Garante debe revisar en forma minuciosa en todos los casos, si se le entregó a los peticionarios </w:t>
      </w:r>
      <w:r w:rsidR="00F551C2" w:rsidRPr="00F551C2">
        <w:rPr>
          <w:rFonts w:ascii="Palatino Linotype" w:hAnsi="Palatino Linotype" w:cs="Arial"/>
          <w:sz w:val="24"/>
          <w:szCs w:val="24"/>
        </w:rPr>
        <w:t>la información que solicitó</w:t>
      </w:r>
      <w:r w:rsidRPr="00F551C2">
        <w:rPr>
          <w:rFonts w:ascii="Palatino Linotype" w:hAnsi="Palatino Linotype" w:cs="Arial"/>
          <w:sz w:val="24"/>
          <w:szCs w:val="24"/>
        </w:rPr>
        <w:t xml:space="preserve">, </w:t>
      </w:r>
      <w:r w:rsidR="006120D3" w:rsidRPr="00F551C2">
        <w:rPr>
          <w:rFonts w:ascii="Palatino Linotype" w:hAnsi="Palatino Linotype" w:cs="Arial"/>
          <w:sz w:val="24"/>
          <w:szCs w:val="24"/>
        </w:rPr>
        <w:t xml:space="preserve">o bien </w:t>
      </w:r>
      <w:r w:rsidR="00F551C2" w:rsidRPr="00F551C2">
        <w:rPr>
          <w:rFonts w:ascii="Palatino Linotype" w:hAnsi="Palatino Linotype" w:cs="Arial"/>
          <w:sz w:val="24"/>
          <w:szCs w:val="24"/>
        </w:rPr>
        <w:t xml:space="preserve">se realizó </w:t>
      </w:r>
      <w:r w:rsidR="006120D3" w:rsidRPr="00F551C2">
        <w:rPr>
          <w:rFonts w:ascii="Palatino Linotype" w:hAnsi="Palatino Linotype" w:cs="Arial"/>
          <w:sz w:val="24"/>
          <w:szCs w:val="24"/>
        </w:rPr>
        <w:t xml:space="preserve">el correcto ejercicio de los derechos de acceso, rectificación, cancelación u oposición de </w:t>
      </w:r>
      <w:r w:rsidR="006120D3" w:rsidRPr="00F551C2">
        <w:rPr>
          <w:rFonts w:ascii="Palatino Linotype" w:hAnsi="Palatino Linotype" w:cs="Arial"/>
          <w:sz w:val="24"/>
          <w:szCs w:val="24"/>
        </w:rPr>
        <w:lastRenderedPageBreak/>
        <w:t xml:space="preserve">datos personales, </w:t>
      </w:r>
      <w:r w:rsidRPr="00F551C2">
        <w:rPr>
          <w:rFonts w:ascii="Palatino Linotype" w:hAnsi="Palatino Linotype" w:cs="Arial"/>
          <w:sz w:val="24"/>
          <w:szCs w:val="24"/>
        </w:rPr>
        <w:t xml:space="preserve">de esta forma se podrá verificar si el particular tiene por satisfecho </w:t>
      </w:r>
      <w:r w:rsidR="006120D3" w:rsidRPr="00F551C2">
        <w:rPr>
          <w:rFonts w:ascii="Palatino Linotype" w:hAnsi="Palatino Linotype" w:cs="Arial"/>
          <w:sz w:val="24"/>
          <w:szCs w:val="24"/>
        </w:rPr>
        <w:t>sus derechos</w:t>
      </w:r>
      <w:r w:rsidRPr="00F551C2">
        <w:rPr>
          <w:rFonts w:ascii="Palatino Linotype" w:hAnsi="Palatino Linotype" w:cs="Arial"/>
          <w:sz w:val="24"/>
          <w:szCs w:val="24"/>
        </w:rPr>
        <w:t xml:space="preserve">, </w:t>
      </w:r>
      <w:r w:rsidR="00F551C2" w:rsidRPr="00F551C2">
        <w:rPr>
          <w:rFonts w:ascii="Palatino Linotype" w:hAnsi="Palatino Linotype" w:cs="Arial"/>
          <w:sz w:val="24"/>
          <w:szCs w:val="24"/>
        </w:rPr>
        <w:t xml:space="preserve">y </w:t>
      </w:r>
      <w:r w:rsidR="006120D3" w:rsidRPr="00F551C2">
        <w:rPr>
          <w:rFonts w:ascii="Palatino Linotype" w:hAnsi="Palatino Linotype" w:cs="Arial"/>
          <w:sz w:val="24"/>
          <w:szCs w:val="24"/>
        </w:rPr>
        <w:t>si</w:t>
      </w:r>
      <w:r w:rsidRPr="00F551C2">
        <w:rPr>
          <w:rFonts w:ascii="Palatino Linotype" w:hAnsi="Palatino Linotype" w:cs="Arial"/>
          <w:sz w:val="24"/>
          <w:szCs w:val="24"/>
        </w:rPr>
        <w:t xml:space="preserve"> han sido colmados todos sus requerimientos </w:t>
      </w:r>
      <w:r w:rsidR="00F551C2" w:rsidRPr="00F551C2">
        <w:rPr>
          <w:rFonts w:ascii="Palatino Linotype" w:hAnsi="Palatino Linotype" w:cs="Arial"/>
          <w:sz w:val="24"/>
          <w:szCs w:val="24"/>
        </w:rPr>
        <w:t xml:space="preserve">así como el procedimiento </w:t>
      </w:r>
      <w:r w:rsidR="006120D3" w:rsidRPr="00F551C2">
        <w:rPr>
          <w:rFonts w:ascii="Palatino Linotype" w:hAnsi="Palatino Linotype" w:cs="Arial"/>
          <w:sz w:val="24"/>
          <w:szCs w:val="24"/>
        </w:rPr>
        <w:t xml:space="preserve">conforme a las leyes de la materia </w:t>
      </w:r>
      <w:r w:rsidR="00F551C2" w:rsidRPr="00F551C2">
        <w:rPr>
          <w:rFonts w:ascii="Palatino Linotype" w:hAnsi="Palatino Linotype" w:cs="Arial"/>
          <w:sz w:val="24"/>
          <w:szCs w:val="24"/>
        </w:rPr>
        <w:t>sin violentar otras disposiciones jurídicas</w:t>
      </w:r>
      <w:r w:rsidRPr="00F551C2">
        <w:rPr>
          <w:rFonts w:ascii="Palatino Linotype" w:hAnsi="Palatino Linotype" w:cs="Arial"/>
          <w:sz w:val="24"/>
          <w:szCs w:val="24"/>
        </w:rPr>
        <w:t xml:space="preserve">, </w:t>
      </w:r>
      <w:r w:rsidR="00F551C2" w:rsidRPr="00F551C2">
        <w:rPr>
          <w:rFonts w:ascii="Palatino Linotype" w:hAnsi="Palatino Linotype" w:cs="Arial"/>
          <w:sz w:val="24"/>
          <w:szCs w:val="24"/>
        </w:rPr>
        <w:t xml:space="preserve">ya que </w:t>
      </w:r>
      <w:r w:rsidRPr="00F551C2">
        <w:rPr>
          <w:rFonts w:ascii="Palatino Linotype" w:hAnsi="Palatino Linotype" w:cs="Arial"/>
          <w:sz w:val="24"/>
          <w:szCs w:val="24"/>
        </w:rPr>
        <w:t>somos un Órgano Revisor y en ese sentido no podemos pasar inadv</w:t>
      </w:r>
      <w:r w:rsidR="006120D3" w:rsidRPr="00F551C2">
        <w:rPr>
          <w:rFonts w:ascii="Palatino Linotype" w:hAnsi="Palatino Linotype" w:cs="Arial"/>
          <w:sz w:val="24"/>
          <w:szCs w:val="24"/>
        </w:rPr>
        <w:t>ertido el hecho de no analizar a cabalidad los acuerdos que eventualmente lleguen las partes en una diligencia de conciliación</w:t>
      </w:r>
      <w:r w:rsidR="00380991">
        <w:rPr>
          <w:rFonts w:ascii="Palatino Linotype" w:hAnsi="Palatino Linotype" w:cs="Arial"/>
          <w:sz w:val="24"/>
          <w:szCs w:val="24"/>
        </w:rPr>
        <w:t>,</w:t>
      </w:r>
      <w:r w:rsidR="006120D3" w:rsidRPr="00F551C2">
        <w:rPr>
          <w:rFonts w:ascii="Palatino Linotype" w:hAnsi="Palatino Linotype" w:cs="Arial"/>
          <w:sz w:val="24"/>
          <w:szCs w:val="24"/>
        </w:rPr>
        <w:t xml:space="preserve"> pues no en todos los casos esos acuerdos </w:t>
      </w:r>
      <w:r w:rsidR="00F551C2" w:rsidRPr="00F551C2">
        <w:rPr>
          <w:rFonts w:ascii="Palatino Linotype" w:hAnsi="Palatino Linotype" w:cs="Arial"/>
          <w:sz w:val="24"/>
          <w:szCs w:val="24"/>
        </w:rPr>
        <w:t xml:space="preserve">aunque sean satisfactorios para ambas partes </w:t>
      </w:r>
      <w:r w:rsidR="006120D3" w:rsidRPr="00F551C2">
        <w:rPr>
          <w:rFonts w:ascii="Palatino Linotype" w:hAnsi="Palatino Linotype" w:cs="Arial"/>
          <w:sz w:val="24"/>
          <w:szCs w:val="24"/>
        </w:rPr>
        <w:t xml:space="preserve">deben </w:t>
      </w:r>
      <w:r w:rsidR="00F551C2" w:rsidRPr="00F551C2">
        <w:rPr>
          <w:rFonts w:ascii="Palatino Linotype" w:hAnsi="Palatino Linotype" w:cs="Arial"/>
          <w:sz w:val="24"/>
          <w:szCs w:val="24"/>
        </w:rPr>
        <w:t>necesariamente ser</w:t>
      </w:r>
      <w:r w:rsidR="006120D3" w:rsidRPr="00F551C2">
        <w:rPr>
          <w:rFonts w:ascii="Palatino Linotype" w:hAnsi="Palatino Linotype" w:cs="Arial"/>
          <w:sz w:val="24"/>
          <w:szCs w:val="24"/>
        </w:rPr>
        <w:t xml:space="preserve"> procedentes</w:t>
      </w:r>
      <w:r w:rsidRPr="00F551C2">
        <w:rPr>
          <w:rFonts w:ascii="Palatino Linotype" w:hAnsi="Palatino Linotype" w:cs="Arial"/>
          <w:sz w:val="24"/>
          <w:szCs w:val="24"/>
        </w:rPr>
        <w:t xml:space="preserve">, </w:t>
      </w:r>
      <w:r w:rsidR="006120D3" w:rsidRPr="00F551C2">
        <w:rPr>
          <w:rFonts w:ascii="Palatino Linotype" w:hAnsi="Palatino Linotype" w:cs="Arial"/>
          <w:sz w:val="24"/>
          <w:szCs w:val="24"/>
        </w:rPr>
        <w:t xml:space="preserve">pues eventualmente </w:t>
      </w:r>
      <w:r w:rsidRPr="00F551C2">
        <w:rPr>
          <w:rFonts w:ascii="Palatino Linotype" w:hAnsi="Palatino Linotype" w:cs="Arial"/>
          <w:sz w:val="24"/>
          <w:szCs w:val="24"/>
        </w:rPr>
        <w:t xml:space="preserve"> </w:t>
      </w:r>
      <w:r w:rsidR="00F551C2" w:rsidRPr="00F551C2">
        <w:rPr>
          <w:rFonts w:ascii="Palatino Linotype" w:hAnsi="Palatino Linotype" w:cs="Arial"/>
          <w:sz w:val="24"/>
          <w:szCs w:val="24"/>
        </w:rPr>
        <w:t>se estarían trasgrediendo otras disposiciones jurídi</w:t>
      </w:r>
      <w:bookmarkStart w:id="3" w:name="_GoBack"/>
      <w:bookmarkEnd w:id="3"/>
      <w:r w:rsidR="00F551C2" w:rsidRPr="00F551C2">
        <w:rPr>
          <w:rFonts w:ascii="Palatino Linotype" w:hAnsi="Palatino Linotype" w:cs="Arial"/>
          <w:sz w:val="24"/>
          <w:szCs w:val="24"/>
        </w:rPr>
        <w:t>cas</w:t>
      </w:r>
      <w:r w:rsidRPr="00F551C2">
        <w:rPr>
          <w:rFonts w:ascii="Palatino Linotype" w:hAnsi="Palatino Linotype" w:cs="Arial"/>
          <w:sz w:val="24"/>
          <w:szCs w:val="24"/>
        </w:rPr>
        <w:t>.</w:t>
      </w:r>
      <w:r w:rsidR="00F551C2">
        <w:rPr>
          <w:rFonts w:ascii="Palatino Linotype" w:hAnsi="Palatino Linotype" w:cs="Arial"/>
          <w:sz w:val="24"/>
          <w:szCs w:val="24"/>
        </w:rPr>
        <w:t xml:space="preserve"> </w:t>
      </w:r>
      <w:r w:rsidRPr="00F551C2">
        <w:rPr>
          <w:rFonts w:ascii="Palatino Linotype" w:hAnsi="Palatino Linotype" w:cs="Arial"/>
          <w:sz w:val="24"/>
          <w:szCs w:val="24"/>
        </w:rPr>
        <w:t>Adoptar la posición que propongo pretende or</w:t>
      </w:r>
      <w:r w:rsidR="00F551C2" w:rsidRPr="00F551C2">
        <w:rPr>
          <w:rFonts w:ascii="Palatino Linotype" w:hAnsi="Palatino Linotype" w:cs="Arial"/>
          <w:sz w:val="24"/>
          <w:szCs w:val="24"/>
        </w:rPr>
        <w:t>denar un acto de plena certeza, de protección del derecho humano</w:t>
      </w:r>
      <w:r w:rsidRPr="00F551C2">
        <w:rPr>
          <w:rFonts w:ascii="Palatino Linotype" w:hAnsi="Palatino Linotype" w:cs="Arial"/>
          <w:sz w:val="24"/>
          <w:szCs w:val="24"/>
        </w:rPr>
        <w:t xml:space="preserve">. </w:t>
      </w:r>
    </w:p>
    <w:p w:rsidR="001A5EEA" w:rsidRDefault="001A5EEA" w:rsidP="001A5EEA">
      <w:pPr>
        <w:pStyle w:val="Prrafodelista"/>
        <w:rPr>
          <w:rFonts w:ascii="Palatino Linotype" w:hAnsi="Palatino Linotype" w:cs="Arial"/>
          <w:sz w:val="18"/>
          <w:szCs w:val="24"/>
        </w:rPr>
      </w:pPr>
    </w:p>
    <w:p w:rsidR="00380991" w:rsidRDefault="00380991" w:rsidP="001A5EEA">
      <w:pPr>
        <w:pStyle w:val="Prrafodelista"/>
        <w:rPr>
          <w:rFonts w:ascii="Palatino Linotype" w:hAnsi="Palatino Linotype" w:cs="Arial"/>
          <w:sz w:val="18"/>
          <w:szCs w:val="24"/>
        </w:rPr>
      </w:pPr>
    </w:p>
    <w:p w:rsidR="00696770" w:rsidRDefault="00696770" w:rsidP="001A5EEA">
      <w:pPr>
        <w:pStyle w:val="Prrafodelista"/>
        <w:rPr>
          <w:rFonts w:ascii="Palatino Linotype" w:hAnsi="Palatino Linotype" w:cs="Arial"/>
          <w:sz w:val="18"/>
          <w:szCs w:val="24"/>
        </w:rPr>
      </w:pPr>
    </w:p>
    <w:p w:rsidR="001A5EEA" w:rsidRDefault="001A5EEA"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5F11DB" w:rsidRPr="008363D2" w:rsidRDefault="005F11DB" w:rsidP="005F11D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JOSÉ GUADALUPE LUNA HERNÁNDEZ</w:t>
      </w:r>
    </w:p>
    <w:p w:rsidR="005F11DB" w:rsidRDefault="005F11DB" w:rsidP="005F11D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COMISIONADO</w:t>
      </w:r>
    </w:p>
    <w:p w:rsidR="00380991" w:rsidRPr="00564E16" w:rsidRDefault="00380991" w:rsidP="00380991">
      <w:pPr>
        <w:jc w:val="center"/>
        <w:rPr>
          <w:rFonts w:ascii="Palatino Linotype" w:hAnsi="Palatino Linotype"/>
          <w:b/>
          <w:color w:val="FFFFFF" w:themeColor="background1"/>
          <w:sz w:val="24"/>
          <w:szCs w:val="24"/>
        </w:rPr>
      </w:pPr>
      <w:r w:rsidRPr="00564E16">
        <w:rPr>
          <w:rFonts w:ascii="Palatino Linotype" w:hAnsi="Palatino Linotype"/>
          <w:b/>
          <w:color w:val="FFFFFF" w:themeColor="background1"/>
          <w:sz w:val="24"/>
          <w:szCs w:val="24"/>
        </w:rPr>
        <w:t>(RÚBRICA)</w:t>
      </w:r>
    </w:p>
    <w:p w:rsidR="00696770" w:rsidRPr="008363D2" w:rsidRDefault="00696770" w:rsidP="00696770">
      <w:pPr>
        <w:pStyle w:val="Prrafodelista"/>
        <w:spacing w:line="360" w:lineRule="auto"/>
        <w:ind w:left="0"/>
        <w:rPr>
          <w:rFonts w:ascii="Palatino Linotype" w:eastAsia="Calibri" w:hAnsi="Palatino Linotype" w:cs="Arial"/>
          <w:b/>
          <w:sz w:val="24"/>
          <w:szCs w:val="24"/>
        </w:rPr>
      </w:pPr>
    </w:p>
    <w:sectPr w:rsidR="00696770" w:rsidRPr="008363D2"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A9" w:rsidRDefault="00E31FA9" w:rsidP="00E82D3D">
      <w:pPr>
        <w:spacing w:after="0" w:line="240" w:lineRule="auto"/>
      </w:pPr>
      <w:r>
        <w:separator/>
      </w:r>
    </w:p>
  </w:endnote>
  <w:endnote w:type="continuationSeparator" w:id="0">
    <w:p w:rsidR="00E31FA9" w:rsidRDefault="00E31FA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5F2A">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5F2A">
              <w:rPr>
                <w:b/>
                <w:bCs/>
                <w:noProof/>
              </w:rPr>
              <w:t>7</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A9" w:rsidRDefault="00E31FA9" w:rsidP="00E82D3D">
      <w:pPr>
        <w:spacing w:after="0" w:line="240" w:lineRule="auto"/>
      </w:pPr>
      <w:r>
        <w:separator/>
      </w:r>
    </w:p>
  </w:footnote>
  <w:footnote w:type="continuationSeparator" w:id="0">
    <w:p w:rsidR="00E31FA9" w:rsidRDefault="00E31FA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785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785F2A"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785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E688771C"/>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57DB9"/>
    <w:multiLevelType w:val="hybridMultilevel"/>
    <w:tmpl w:val="18640776"/>
    <w:numStyleLink w:val="Estiloimportado2"/>
  </w:abstractNum>
  <w:abstractNum w:abstractNumId="11">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7"/>
  </w:num>
  <w:num w:numId="4">
    <w:abstractNumId w:val="12"/>
  </w:num>
  <w:num w:numId="5">
    <w:abstractNumId w:val="11"/>
  </w:num>
  <w:num w:numId="6">
    <w:abstractNumId w:val="1"/>
  </w:num>
  <w:num w:numId="7">
    <w:abstractNumId w:val="15"/>
  </w:num>
  <w:num w:numId="8">
    <w:abstractNumId w:val="8"/>
  </w:num>
  <w:num w:numId="9">
    <w:abstractNumId w:val="14"/>
  </w:num>
  <w:num w:numId="10">
    <w:abstractNumId w:val="4"/>
  </w:num>
  <w:num w:numId="11">
    <w:abstractNumId w:val="13"/>
  </w:num>
  <w:num w:numId="12">
    <w:abstractNumId w:val="9"/>
  </w:num>
  <w:num w:numId="13">
    <w:abstractNumId w:val="6"/>
  </w:num>
  <w:num w:numId="14">
    <w:abstractNumId w:val="0"/>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049E"/>
    <w:rsid w:val="00081B7A"/>
    <w:rsid w:val="00096CC2"/>
    <w:rsid w:val="000F0318"/>
    <w:rsid w:val="00102360"/>
    <w:rsid w:val="001240A5"/>
    <w:rsid w:val="001962BF"/>
    <w:rsid w:val="001A5EEA"/>
    <w:rsid w:val="001B19B4"/>
    <w:rsid w:val="001D286B"/>
    <w:rsid w:val="00242F86"/>
    <w:rsid w:val="00261774"/>
    <w:rsid w:val="002E3ED2"/>
    <w:rsid w:val="002F79FF"/>
    <w:rsid w:val="00304AA4"/>
    <w:rsid w:val="003258B6"/>
    <w:rsid w:val="00364F8B"/>
    <w:rsid w:val="00380991"/>
    <w:rsid w:val="00384DBA"/>
    <w:rsid w:val="003B7651"/>
    <w:rsid w:val="00435095"/>
    <w:rsid w:val="0048628E"/>
    <w:rsid w:val="004A4132"/>
    <w:rsid w:val="004C2C9C"/>
    <w:rsid w:val="004D746D"/>
    <w:rsid w:val="005358E1"/>
    <w:rsid w:val="005556CA"/>
    <w:rsid w:val="00564E16"/>
    <w:rsid w:val="00574B46"/>
    <w:rsid w:val="005A662E"/>
    <w:rsid w:val="005F11DB"/>
    <w:rsid w:val="005F30BC"/>
    <w:rsid w:val="006120D3"/>
    <w:rsid w:val="00617ACF"/>
    <w:rsid w:val="0062187C"/>
    <w:rsid w:val="00637DAB"/>
    <w:rsid w:val="00650C05"/>
    <w:rsid w:val="00667BC5"/>
    <w:rsid w:val="00680550"/>
    <w:rsid w:val="00696770"/>
    <w:rsid w:val="006A31C2"/>
    <w:rsid w:val="006D7BCC"/>
    <w:rsid w:val="006F0A01"/>
    <w:rsid w:val="006F54C6"/>
    <w:rsid w:val="0070582F"/>
    <w:rsid w:val="00756AED"/>
    <w:rsid w:val="0077436B"/>
    <w:rsid w:val="00785F2A"/>
    <w:rsid w:val="00797A31"/>
    <w:rsid w:val="007D037D"/>
    <w:rsid w:val="007D4C8E"/>
    <w:rsid w:val="00807E40"/>
    <w:rsid w:val="00837109"/>
    <w:rsid w:val="00851877"/>
    <w:rsid w:val="008B39D9"/>
    <w:rsid w:val="008E349D"/>
    <w:rsid w:val="00902DAB"/>
    <w:rsid w:val="00905D9C"/>
    <w:rsid w:val="009175CF"/>
    <w:rsid w:val="009979C7"/>
    <w:rsid w:val="009A2D39"/>
    <w:rsid w:val="009E3210"/>
    <w:rsid w:val="00A44CEB"/>
    <w:rsid w:val="00A47501"/>
    <w:rsid w:val="00A60802"/>
    <w:rsid w:val="00A878C0"/>
    <w:rsid w:val="00AA6385"/>
    <w:rsid w:val="00AE09CF"/>
    <w:rsid w:val="00B0785D"/>
    <w:rsid w:val="00B378E9"/>
    <w:rsid w:val="00B70636"/>
    <w:rsid w:val="00B9285A"/>
    <w:rsid w:val="00BA26C4"/>
    <w:rsid w:val="00BB488C"/>
    <w:rsid w:val="00BC73AE"/>
    <w:rsid w:val="00BE604D"/>
    <w:rsid w:val="00C53D91"/>
    <w:rsid w:val="00C753D8"/>
    <w:rsid w:val="00C81948"/>
    <w:rsid w:val="00CA2B8E"/>
    <w:rsid w:val="00CC7CC1"/>
    <w:rsid w:val="00CF0462"/>
    <w:rsid w:val="00D037CB"/>
    <w:rsid w:val="00D14A5C"/>
    <w:rsid w:val="00D63CE5"/>
    <w:rsid w:val="00D66E73"/>
    <w:rsid w:val="00DA3358"/>
    <w:rsid w:val="00DD14BB"/>
    <w:rsid w:val="00DE7A32"/>
    <w:rsid w:val="00E214A2"/>
    <w:rsid w:val="00E31FA9"/>
    <w:rsid w:val="00E82D3D"/>
    <w:rsid w:val="00F12E66"/>
    <w:rsid w:val="00F30EE8"/>
    <w:rsid w:val="00F551C2"/>
    <w:rsid w:val="00F81422"/>
    <w:rsid w:val="00FB4898"/>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27D1-57C5-4B78-AFED-FEE5AC9C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2019-02-25T21:26:00Z</cp:lastPrinted>
  <dcterms:created xsi:type="dcterms:W3CDTF">2019-02-26T23:39:00Z</dcterms:created>
  <dcterms:modified xsi:type="dcterms:W3CDTF">2019-03-29T17:16:00Z</dcterms:modified>
</cp:coreProperties>
</file>